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BE13" w14:textId="247B59AD" w:rsidR="005D281A" w:rsidRPr="00CB26E2" w:rsidRDefault="005D281A" w:rsidP="009F587E">
      <w:pPr>
        <w:spacing w:before="760" w:after="0" w:line="220" w:lineRule="exact"/>
        <w:rPr>
          <w:rFonts w:ascii="Arial" w:hAnsi="Arial" w:cs="Arial"/>
          <w:sz w:val="18"/>
          <w:szCs w:val="18"/>
        </w:rPr>
      </w:pPr>
    </w:p>
    <w:p w14:paraId="2FCC5CF3" w14:textId="77777777" w:rsidR="00363D17" w:rsidRDefault="00363D17" w:rsidP="00363D1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8750"/>
          <w:sz w:val="24"/>
          <w:szCs w:val="24"/>
        </w:rPr>
      </w:pPr>
    </w:p>
    <w:p w14:paraId="572763CD" w14:textId="77777777" w:rsidR="00363D17" w:rsidRDefault="00363D17" w:rsidP="00363D1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8750"/>
          <w:sz w:val="24"/>
          <w:szCs w:val="24"/>
        </w:rPr>
      </w:pPr>
    </w:p>
    <w:p w14:paraId="547C471E" w14:textId="77777777" w:rsidR="00363D17" w:rsidRDefault="00363D17" w:rsidP="00363D1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8750"/>
          <w:sz w:val="24"/>
          <w:szCs w:val="24"/>
        </w:rPr>
      </w:pPr>
    </w:p>
    <w:p w14:paraId="121A801F" w14:textId="77777777" w:rsidR="00363D17" w:rsidRDefault="00363D17" w:rsidP="00363D1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8750"/>
          <w:sz w:val="24"/>
          <w:szCs w:val="24"/>
        </w:rPr>
      </w:pPr>
    </w:p>
    <w:p w14:paraId="4A9DFECA" w14:textId="77777777" w:rsidR="00363D17" w:rsidRDefault="00363D17" w:rsidP="00363D1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8750"/>
          <w:sz w:val="24"/>
          <w:szCs w:val="24"/>
        </w:rPr>
      </w:pPr>
    </w:p>
    <w:p w14:paraId="0C79793A" w14:textId="1DB1D751" w:rsidR="00363D17" w:rsidRPr="005F1CF1" w:rsidRDefault="00363D17" w:rsidP="00363D1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8750"/>
          <w:sz w:val="24"/>
          <w:szCs w:val="24"/>
        </w:rPr>
      </w:pPr>
      <w:r w:rsidRPr="005F1CF1">
        <w:rPr>
          <w:rFonts w:ascii="Arial" w:hAnsi="Arial" w:cs="Arial"/>
          <w:b/>
          <w:bCs/>
          <w:color w:val="008750"/>
          <w:sz w:val="24"/>
          <w:szCs w:val="24"/>
        </w:rPr>
        <w:t>PRACE INTERWENCYJNE</w:t>
      </w:r>
    </w:p>
    <w:p w14:paraId="2B2C5AE5" w14:textId="77777777" w:rsidR="00363D17" w:rsidRPr="00851FFE" w:rsidRDefault="00363D17" w:rsidP="00363D1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5FA7DF34" w14:textId="77777777" w:rsidR="00363D17" w:rsidRDefault="00363D17" w:rsidP="00363D17">
      <w:pPr>
        <w:spacing w:after="0" w:line="240" w:lineRule="auto"/>
        <w:ind w:left="1985" w:hanging="2127"/>
        <w:jc w:val="both"/>
        <w:rPr>
          <w:rFonts w:ascii="Arial" w:hAnsi="Arial" w:cs="Arial"/>
          <w:sz w:val="18"/>
          <w:szCs w:val="18"/>
          <w:u w:val="single"/>
        </w:rPr>
      </w:pPr>
    </w:p>
    <w:p w14:paraId="462AA9D4" w14:textId="77777777" w:rsidR="00363D17" w:rsidRPr="00376A06" w:rsidRDefault="00363D17" w:rsidP="00363D17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376A06">
        <w:rPr>
          <w:rFonts w:ascii="Arial" w:hAnsi="Arial" w:cs="Arial"/>
          <w:sz w:val="18"/>
          <w:szCs w:val="18"/>
          <w:u w:val="single"/>
        </w:rPr>
        <w:t xml:space="preserve">Podstawa prawna: </w:t>
      </w:r>
    </w:p>
    <w:p w14:paraId="6DC1FEFB" w14:textId="77777777" w:rsidR="00363D17" w:rsidRPr="00376A06" w:rsidRDefault="00363D17" w:rsidP="00363D17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465FE2A3" w14:textId="77777777" w:rsidR="00363D17" w:rsidRPr="00376A06" w:rsidRDefault="00363D17" w:rsidP="00363D17">
      <w:pPr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art. 135, 137 - 139 ustawy z dnia 20 marca 2025 r. o rynku pracy i służbach zatrudnienia. </w:t>
      </w:r>
    </w:p>
    <w:p w14:paraId="67866001" w14:textId="77777777" w:rsidR="00363D17" w:rsidRPr="00376A06" w:rsidRDefault="00363D17" w:rsidP="00363D1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1DE992" w14:textId="77777777" w:rsidR="00363D17" w:rsidRPr="00376A06" w:rsidRDefault="00363D17" w:rsidP="00363D17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76A06">
        <w:rPr>
          <w:rFonts w:ascii="Arial" w:hAnsi="Arial" w:cs="Arial"/>
          <w:b/>
          <w:sz w:val="18"/>
          <w:szCs w:val="18"/>
          <w:u w:val="single"/>
        </w:rPr>
        <w:t>Ogólne zasady przyznawania refundacji w tut. Urzędzie w 2025 roku:</w:t>
      </w:r>
    </w:p>
    <w:p w14:paraId="7B964C65" w14:textId="77777777" w:rsidR="00363D17" w:rsidRPr="00376A06" w:rsidRDefault="00363D17" w:rsidP="00363D17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14:paraId="4FFDAE09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Prace interwencyjne oznaczają zatrudnienie bezrobotnego przez pracodawcę w pełnym wymiarze czasu pracy z częściowym dofinansowaniem pracodawcy przez urząd pracy kosztów zatrudnienia.  </w:t>
      </w:r>
    </w:p>
    <w:p w14:paraId="520A661C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O organizację prac interwencyjnych może ubiegać się pracodawca / przedsiębiorca, który w ocenie urzędu pracy jest w stanie te prace prawidłowo przeprowadzić.</w:t>
      </w:r>
    </w:p>
    <w:p w14:paraId="73FC2E04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Po zakończeniu prac interwencyjnych pracodawca zobowiązany jest do utrzymania zatrudnienia przez połowę okresu, za który uzyskał refundację wynagrodzeń i składek na ubezpieczenia społeczne. </w:t>
      </w:r>
    </w:p>
    <w:p w14:paraId="2C7E343C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Pracodawca, który zatrudnił w ramach prac interwencyjnych skierowanych przez urząd pracy bezrobotnych otrzymuje zwrot części kosztów poniesionych na ich wynagrodzenia, nagrody, składki na ubezpieczenia społeczne.</w:t>
      </w:r>
    </w:p>
    <w:p w14:paraId="00A6A11E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Refundacja może trwać od 3 do 12 miesięcy (zależnie na jaki okres zostanie zawarta umowa ze Starostą) w wysokości uprzednio uzgodnionej, nieprzekraczającej jednak kwoty minimalnego wynagrodzenia za pracę za każdego bezrobotnego, obowiązującej w ostatnim dniu zatrudnienia każdego rozliczanego miesiąca oraz nie więcej niż faktycznie poniesione koszty.  Wysokość refundacji w ramach prac interwencyjnych w roku 2025 na jednego pracownika określa się do wysokości </w:t>
      </w:r>
      <w:r w:rsidRPr="00376A06">
        <w:rPr>
          <w:rFonts w:ascii="Arial" w:hAnsi="Arial" w:cs="Arial"/>
          <w:b/>
          <w:sz w:val="18"/>
          <w:szCs w:val="18"/>
        </w:rPr>
        <w:t>3 900,00 zł</w:t>
      </w:r>
      <w:r w:rsidRPr="00376A06">
        <w:rPr>
          <w:rFonts w:ascii="Arial" w:hAnsi="Arial" w:cs="Arial"/>
          <w:sz w:val="18"/>
          <w:szCs w:val="18"/>
        </w:rPr>
        <w:t xml:space="preserve"> (refundacja wynagrodzenia)</w:t>
      </w:r>
      <w:r w:rsidRPr="00376A06">
        <w:rPr>
          <w:rFonts w:ascii="Arial" w:hAnsi="Arial" w:cs="Arial"/>
          <w:b/>
          <w:sz w:val="18"/>
          <w:szCs w:val="18"/>
        </w:rPr>
        <w:t xml:space="preserve"> plus</w:t>
      </w:r>
      <w:r w:rsidRPr="00376A06">
        <w:rPr>
          <w:rFonts w:ascii="Arial" w:hAnsi="Arial" w:cs="Arial"/>
          <w:sz w:val="18"/>
          <w:szCs w:val="18"/>
        </w:rPr>
        <w:t xml:space="preserve"> składki na ubezpieczenia społeczne (liczone są od kwoty refundacji).</w:t>
      </w:r>
    </w:p>
    <w:p w14:paraId="137F9BAC" w14:textId="3FF5B46E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Ostateczną decyzję dotyczącą ilości dofinansowanych stanowisk, wysokości,</w:t>
      </w:r>
      <w:r w:rsidR="00376A06" w:rsidRPr="00376A06">
        <w:rPr>
          <w:rFonts w:ascii="Arial" w:hAnsi="Arial" w:cs="Arial"/>
          <w:sz w:val="18"/>
          <w:szCs w:val="18"/>
        </w:rPr>
        <w:t xml:space="preserve"> </w:t>
      </w:r>
      <w:r w:rsidRPr="00376A06">
        <w:rPr>
          <w:rFonts w:ascii="Arial" w:hAnsi="Arial" w:cs="Arial"/>
          <w:sz w:val="18"/>
          <w:szCs w:val="18"/>
        </w:rPr>
        <w:t>rodzaju</w:t>
      </w:r>
      <w:r w:rsidR="00376A06" w:rsidRPr="00376A06">
        <w:rPr>
          <w:rFonts w:ascii="Arial" w:hAnsi="Arial" w:cs="Arial"/>
          <w:sz w:val="18"/>
          <w:szCs w:val="18"/>
        </w:rPr>
        <w:t xml:space="preserve"> </w:t>
      </w:r>
      <w:r w:rsidRPr="00376A06">
        <w:rPr>
          <w:rFonts w:ascii="Arial" w:hAnsi="Arial" w:cs="Arial"/>
          <w:sz w:val="18"/>
          <w:szCs w:val="18"/>
        </w:rPr>
        <w:t>i okresu refundacji podejmuje Starosta, biorąc pod uwagę posiadane środki na finansowanie form pomocy, spełnianie</w:t>
      </w:r>
      <w:r w:rsidR="00376A06" w:rsidRPr="00376A06">
        <w:rPr>
          <w:rFonts w:ascii="Arial" w:hAnsi="Arial" w:cs="Arial"/>
          <w:sz w:val="18"/>
          <w:szCs w:val="18"/>
        </w:rPr>
        <w:t xml:space="preserve"> </w:t>
      </w:r>
      <w:r w:rsidRPr="00376A06">
        <w:rPr>
          <w:rFonts w:ascii="Arial" w:hAnsi="Arial" w:cs="Arial"/>
          <w:sz w:val="18"/>
          <w:szCs w:val="18"/>
        </w:rPr>
        <w:t>przez pracodawcę warunków formalnych oraz zaproponowane przez pracodawcę</w:t>
      </w:r>
      <w:r w:rsidR="00376A06" w:rsidRPr="00376A06">
        <w:rPr>
          <w:rFonts w:ascii="Arial" w:hAnsi="Arial" w:cs="Arial"/>
          <w:sz w:val="18"/>
          <w:szCs w:val="18"/>
        </w:rPr>
        <w:t xml:space="preserve"> </w:t>
      </w:r>
      <w:r w:rsidRPr="00376A06">
        <w:rPr>
          <w:rFonts w:ascii="Arial" w:hAnsi="Arial" w:cs="Arial"/>
          <w:sz w:val="18"/>
          <w:szCs w:val="18"/>
        </w:rPr>
        <w:t>warunki zatrudnienia bezrobotnych.</w:t>
      </w:r>
    </w:p>
    <w:p w14:paraId="2183C990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Szczegółowe warunki zatrudnienia i refundacji określa umowa zawarta pomiędzy Powiatowym Urzędem Pracy w Zgorzelcu a Pracodawcą.</w:t>
      </w:r>
    </w:p>
    <w:p w14:paraId="57D86181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Wniosek o organizację prac interwencyjnych nie może złożyć podmiot:</w:t>
      </w:r>
    </w:p>
    <w:p w14:paraId="23217F4C" w14:textId="77777777" w:rsidR="00363D17" w:rsidRPr="00376A06" w:rsidRDefault="00363D17" w:rsidP="00363D1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jeżeli osoby go reprezentujące lub osoby nim zarządzające w okresie ostatnich 2 lat były prawomocnie skazane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 podstawie ustawy z dnia 10 września 1999 r. – Kodeks karny skarbowy lub za odpowiedni czyn zabroniony określony w przepisach prawa obcego;</w:t>
      </w:r>
    </w:p>
    <w:p w14:paraId="571D5848" w14:textId="77777777" w:rsidR="00363D17" w:rsidRPr="00376A06" w:rsidRDefault="00363D17" w:rsidP="00363D1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który na dzień złożenia wniosku zalega z: </w:t>
      </w:r>
    </w:p>
    <w:p w14:paraId="1BD09B8C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2CEC1816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opłacaniem należnych składek na ubezpieczenie społeczne rolników lub na ubezpieczenie zdrowotne,</w:t>
      </w:r>
    </w:p>
    <w:p w14:paraId="7864CFBE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opłacaniem innych danin publicznych.</w:t>
      </w:r>
    </w:p>
    <w:p w14:paraId="7E8E130F" w14:textId="46B5CF3D" w:rsidR="00376A06" w:rsidRPr="00376A06" w:rsidRDefault="00363D17" w:rsidP="00376A06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Prace interwencyjnie nie mogą być organizowane w Wojewódzkich Urzędach Pracy, Powiatowych Urzędach Pracy oraz w biurach poselskich, senatorskich i poselsko – senatorskich.</w:t>
      </w:r>
    </w:p>
    <w:p w14:paraId="040236D2" w14:textId="77777777" w:rsidR="00363D17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Niewywiązywanie się z warunków umowy w zakresie zatrudnienia skierowanego bezrobotnego przez okres określony w umowie, złożenie oświadczeń niezgodnych z prawdą lub naruszenie innych warunków umowy powoduje obowiązek zwrotu uzyskanej pomocy wraz z odsetkami ustawowymi naliczonymi od całości uzyskanej pomocy od dnia otrzymania pierwszej refundacji, w terminie 30 dni od dnia doręczenia wezwania starosty.</w:t>
      </w:r>
    </w:p>
    <w:p w14:paraId="649B86D1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D37C86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19E9F7F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F5D531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DF1CDB4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7B4176A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188F1E1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3D3106" w14:textId="77777777" w:rsid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F1BE028" w14:textId="77777777" w:rsidR="00376A06" w:rsidRPr="00376A06" w:rsidRDefault="00376A06" w:rsidP="00376A0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3FDD261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W przypadku rozwiązania umowy o pracę przez skierowanego bezrobotnego, rozwiązania z nim umowy o pracę na podstawie art. 52 albo art. 53 ustawy z dnia 26 czerwca 1974 r. – Kodeksu pracy lub wygaśnięcia stosunku pracy skierowanego bezrobotnego w trakcie trwania okresu objętego refundacją albo przed upływem okresu wymaganego utrzymania stanowiska po okresie refundacji, Powiatowy Urząd Pracy w Zgorzelcu kieruje na zwolnione stanowisko pracy innego bezrobotnego.  W przypadku odmowy przyjęcia skierowanego bezrobotnego na zwolnione stanowisko pracy, pracodawca zwraca uzyskaną pomoc w całości wraz z odsetkami ustawowymi naliczanymi od dnia otrzymania pierwszej refundacji, w terminie 30 dni od dnia doręczenia wezwania starosty. W przypadku braku możliwości skierowania bezrobotnego przez Powiatowy Urząd Pracy w Zgorzelcu na zwolnione stanowisko pracy, pracodawca nie zwraca uzyskanej pomocy za okres, w którym uprzednio skierowany bezrobotny pozostawał w zatrudnieniu.</w:t>
      </w:r>
    </w:p>
    <w:p w14:paraId="1B7CC701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Pierwszeństwo w skierowania do udziału w pracach interwencyjnych przysługuje bezrobotnym:</w:t>
      </w:r>
    </w:p>
    <w:p w14:paraId="1CEB3D31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posiadającym Kartę Dużej Rodziny,</w:t>
      </w:r>
    </w:p>
    <w:p w14:paraId="079753C0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powyżej 50. roku życia,</w:t>
      </w:r>
    </w:p>
    <w:p w14:paraId="5374A326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bez kwalifikacji zawodowych,</w:t>
      </w:r>
    </w:p>
    <w:p w14:paraId="3CA3BDB3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niepełnosprawnym,</w:t>
      </w:r>
    </w:p>
    <w:p w14:paraId="70B14E25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długotrwale,</w:t>
      </w:r>
    </w:p>
    <w:p w14:paraId="5D0FE4A4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będącym do 30, roku życia (w tym posiadającym status poszukującego pracy),</w:t>
      </w:r>
    </w:p>
    <w:p w14:paraId="45C34384" w14:textId="77777777" w:rsidR="00363D17" w:rsidRPr="00376A06" w:rsidRDefault="00363D17" w:rsidP="00363D17">
      <w:pPr>
        <w:pStyle w:val="Akapitzlist"/>
        <w:numPr>
          <w:ilvl w:val="0"/>
          <w:numId w:val="2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samotnie wychowującym co najmniej jedno dziecko. </w:t>
      </w:r>
    </w:p>
    <w:p w14:paraId="6F01F3EB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Pomoc udzielana w ramach prac interwencyjnych jest udzielana zgodnie z warunkami dopuszczalności pomocy de </w:t>
      </w:r>
      <w:proofErr w:type="spellStart"/>
      <w:r w:rsidRPr="00376A06">
        <w:rPr>
          <w:rFonts w:ascii="Arial" w:hAnsi="Arial" w:cs="Arial"/>
          <w:sz w:val="18"/>
          <w:szCs w:val="18"/>
        </w:rPr>
        <w:t>minimis</w:t>
      </w:r>
      <w:proofErr w:type="spellEnd"/>
      <w:r w:rsidRPr="00376A06">
        <w:rPr>
          <w:rFonts w:ascii="Arial" w:hAnsi="Arial" w:cs="Arial"/>
          <w:sz w:val="18"/>
          <w:szCs w:val="18"/>
        </w:rPr>
        <w:t>.</w:t>
      </w:r>
    </w:p>
    <w:p w14:paraId="38F77DD3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201307194"/>
      <w:r w:rsidRPr="00376A06">
        <w:rPr>
          <w:rFonts w:ascii="Arial" w:hAnsi="Arial" w:cs="Arial"/>
          <w:sz w:val="18"/>
          <w:szCs w:val="18"/>
        </w:rPr>
        <w:t xml:space="preserve">Powiatowy Urząd Pracy w Zgorzelcu </w:t>
      </w:r>
      <w:bookmarkEnd w:id="0"/>
      <w:r w:rsidRPr="00376A06">
        <w:rPr>
          <w:rFonts w:ascii="Arial" w:hAnsi="Arial" w:cs="Arial"/>
          <w:sz w:val="18"/>
          <w:szCs w:val="18"/>
        </w:rPr>
        <w:t>w terminie 30 dni od daty złożenia wniosku informuje wnioskodawcę o rozpatrzeniu wniosku i wyrażeniu zgody lub jej braku na zorganizowanie prac interwencyjnych. W przypadku, gdy wniosek jest nieprawidłowo wypełniony lub niekompletny, Powiatowy Urząd Pracy w Zgorzelcu wyznacza wnioskodawcy 7 – dniowy termin na jego uzupełnienie. Wniosek nieuzupełniony we wskazanym terminie pozostawia się bez rozpatrzenia.</w:t>
      </w:r>
    </w:p>
    <w:p w14:paraId="09A2E072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 xml:space="preserve">Rozpatrując wniosek Powiatowy Urząd Pracy w Zgorzelcu będzie brał pod uwagę lokalizację stanowiska pracy objętego refundacją. Preferowani będą pracodawcy tworzący stanowisko na terenie powiatu zgorzeleckiego. W przypadku wskazania innej lokalizacji decyzja będzie podejmowana indywidualnie przy uwzględnieniu między innymi możliwości dojazdu potencjalnych kandydatów do pracy oraz możliwości przeprowadzenia kontroli prawidłowości realizacji umowy przez Powiatowy Urząd Pracy w Zgorzelcu.  </w:t>
      </w:r>
    </w:p>
    <w:p w14:paraId="48893241" w14:textId="77777777" w:rsidR="00363D17" w:rsidRPr="00376A06" w:rsidRDefault="00363D17" w:rsidP="00363D17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76A06">
        <w:rPr>
          <w:rFonts w:ascii="Arial" w:hAnsi="Arial" w:cs="Arial"/>
          <w:sz w:val="18"/>
          <w:szCs w:val="18"/>
        </w:rPr>
        <w:t>W przypadku pozytywnego rozpatrzenia wniosku tut. Urząd może odmówić wydania skierowania osobom, które w ostatnim okresie były zatrudnione lub w sposób ciągły świadczyły pracę u Pracodawcy ubiegającego się o zatrudnienie w ramach prac interwencyjnych.</w:t>
      </w:r>
    </w:p>
    <w:p w14:paraId="5259D455" w14:textId="77777777" w:rsidR="00363D17" w:rsidRPr="00376A06" w:rsidRDefault="00363D17" w:rsidP="00363D1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33B039" w14:textId="77777777" w:rsidR="00363D17" w:rsidRPr="00376A06" w:rsidRDefault="00363D17" w:rsidP="00363D1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FC5166" w14:textId="77777777" w:rsidR="00363D17" w:rsidRPr="00376A06" w:rsidRDefault="00363D17" w:rsidP="00363D17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376A06">
        <w:rPr>
          <w:rFonts w:ascii="Arial" w:hAnsi="Arial" w:cs="Arial"/>
          <w:i/>
          <w:sz w:val="18"/>
          <w:szCs w:val="18"/>
        </w:rPr>
        <w:t xml:space="preserve">Zainteresowany podmiot składa wniosek o </w:t>
      </w:r>
      <w:r w:rsidRPr="00376A06">
        <w:rPr>
          <w:rFonts w:ascii="Arial" w:hAnsi="Arial" w:cs="Arial"/>
          <w:i/>
          <w:iCs/>
          <w:sz w:val="18"/>
          <w:szCs w:val="18"/>
        </w:rPr>
        <w:t>organizację prac interwencyjnych do</w:t>
      </w:r>
      <w:r w:rsidRPr="00376A06">
        <w:rPr>
          <w:rFonts w:ascii="Arial" w:hAnsi="Arial" w:cs="Arial"/>
          <w:i/>
          <w:sz w:val="18"/>
          <w:szCs w:val="18"/>
        </w:rPr>
        <w:t xml:space="preserve"> Powiatowego Urzędu Pracy w Zgorzelcu.</w:t>
      </w:r>
    </w:p>
    <w:p w14:paraId="32CB95F7" w14:textId="77777777" w:rsidR="00363D17" w:rsidRPr="00376A06" w:rsidRDefault="00363D17" w:rsidP="00363D17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376A06">
        <w:rPr>
          <w:rFonts w:ascii="Arial" w:hAnsi="Arial" w:cs="Arial"/>
          <w:i/>
          <w:sz w:val="18"/>
          <w:szCs w:val="18"/>
        </w:rPr>
        <w:t>Informacje dodatkowe udzielane są w pokoju nr 114 oraz pod numerem telefonu 75 77 70 534.</w:t>
      </w:r>
    </w:p>
    <w:p w14:paraId="4744EB63" w14:textId="77777777" w:rsidR="00363D17" w:rsidRPr="00376A06" w:rsidRDefault="00363D17" w:rsidP="00363D17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376A06">
        <w:rPr>
          <w:rFonts w:ascii="Arial" w:hAnsi="Arial" w:cs="Arial"/>
          <w:i/>
          <w:sz w:val="18"/>
          <w:szCs w:val="18"/>
        </w:rPr>
        <w:t>Wniosek wraz z kompletem załączników dostępny jest na stronie internetowej urzędu:</w:t>
      </w:r>
    </w:p>
    <w:p w14:paraId="3A0719D2" w14:textId="77777777" w:rsidR="00363D17" w:rsidRPr="00376A06" w:rsidRDefault="00363D17" w:rsidP="00363D1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w w:val="112"/>
          <w:sz w:val="18"/>
          <w:szCs w:val="18"/>
          <w:lang w:bidi="he-IL"/>
        </w:rPr>
      </w:pPr>
      <w:r w:rsidRPr="00376A06">
        <w:rPr>
          <w:rFonts w:ascii="Arial" w:hAnsi="Arial" w:cs="Arial"/>
          <w:i/>
          <w:sz w:val="18"/>
          <w:szCs w:val="18"/>
        </w:rPr>
        <w:t>http://zgorzelec.praca.gov.pl</w:t>
      </w:r>
      <w:r w:rsidRPr="00376A06">
        <w:rPr>
          <w:rFonts w:ascii="Arial" w:hAnsi="Arial" w:cs="Arial"/>
          <w:bCs/>
          <w:i/>
          <w:w w:val="112"/>
          <w:sz w:val="18"/>
          <w:szCs w:val="18"/>
          <w:lang w:bidi="he-IL"/>
        </w:rPr>
        <w:t xml:space="preserve"> w zakładce "Dla pracodawców i przedsiębiorców- Wsparcie tworzenia miejsc pracy </w:t>
      </w:r>
      <w:r w:rsidRPr="00376A06">
        <w:rPr>
          <w:rFonts w:ascii="Arial" w:hAnsi="Arial" w:cs="Arial"/>
          <w:bCs/>
          <w:i/>
          <w:caps/>
          <w:w w:val="112"/>
          <w:sz w:val="18"/>
          <w:szCs w:val="18"/>
          <w:lang w:bidi="he-IL"/>
        </w:rPr>
        <w:t xml:space="preserve">- </w:t>
      </w:r>
      <w:r w:rsidRPr="00376A06">
        <w:rPr>
          <w:rFonts w:ascii="Arial" w:hAnsi="Arial" w:cs="Arial"/>
          <w:bCs/>
          <w:i/>
          <w:caps/>
          <w:w w:val="112"/>
          <w:sz w:val="18"/>
          <w:szCs w:val="18"/>
          <w:lang w:bidi="he-IL"/>
        </w:rPr>
        <w:softHyphen/>
      </w:r>
      <w:r w:rsidRPr="00376A06">
        <w:rPr>
          <w:rFonts w:ascii="Arial" w:hAnsi="Arial" w:cs="Arial"/>
          <w:bCs/>
          <w:i/>
          <w:kern w:val="36"/>
          <w:sz w:val="18"/>
          <w:szCs w:val="18"/>
        </w:rPr>
        <w:t xml:space="preserve"> Prace interwencyjne”. </w:t>
      </w:r>
    </w:p>
    <w:p w14:paraId="1EB2D077" w14:textId="77777777" w:rsidR="00E5280B" w:rsidRPr="00376A06" w:rsidRDefault="00E5280B" w:rsidP="00E5280B">
      <w:pPr>
        <w:spacing w:before="760" w:after="0" w:line="220" w:lineRule="exact"/>
        <w:rPr>
          <w:rFonts w:ascii="Arial" w:hAnsi="Arial" w:cs="Arial"/>
          <w:b/>
          <w:bCs/>
          <w:sz w:val="18"/>
          <w:szCs w:val="18"/>
        </w:rPr>
      </w:pPr>
    </w:p>
    <w:sectPr w:rsidR="00E5280B" w:rsidRPr="00376A06" w:rsidSect="00CB2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42" w:right="1021" w:bottom="170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2313" w14:textId="77777777" w:rsidR="00DD56E3" w:rsidRDefault="00DD56E3" w:rsidP="00785274">
      <w:pPr>
        <w:spacing w:after="0" w:line="240" w:lineRule="auto"/>
      </w:pPr>
      <w:r>
        <w:separator/>
      </w:r>
    </w:p>
  </w:endnote>
  <w:endnote w:type="continuationSeparator" w:id="0">
    <w:p w14:paraId="661FFA9D" w14:textId="77777777" w:rsidR="00DD56E3" w:rsidRDefault="00DD56E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B168" w14:textId="77777777" w:rsidR="001C7DF3" w:rsidRDefault="001C7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9233" w14:textId="77777777" w:rsidR="001C7DF3" w:rsidRDefault="001C7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5563" w14:textId="77777777" w:rsidR="001C7DF3" w:rsidRDefault="001C7DF3" w:rsidP="001C7DF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C4B97A0" w14:textId="77777777" w:rsidR="001C7DF3" w:rsidRDefault="001C7DF3" w:rsidP="001C7DF3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4B0494BD" w14:textId="77777777" w:rsidR="001C7DF3" w:rsidRDefault="001C7DF3" w:rsidP="001C7DF3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49F8AFCE" w14:textId="3FD853B0" w:rsidR="009F587E" w:rsidRPr="001C7DF3" w:rsidRDefault="009F587E" w:rsidP="001C7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64790" w14:textId="77777777" w:rsidR="00DD56E3" w:rsidRDefault="00DD56E3" w:rsidP="00785274">
      <w:pPr>
        <w:spacing w:after="0" w:line="240" w:lineRule="auto"/>
      </w:pPr>
      <w:r>
        <w:separator/>
      </w:r>
    </w:p>
  </w:footnote>
  <w:footnote w:type="continuationSeparator" w:id="0">
    <w:p w14:paraId="7AF8BAF9" w14:textId="77777777" w:rsidR="00DD56E3" w:rsidRDefault="00DD56E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81B8" w14:textId="77777777" w:rsidR="001C7DF3" w:rsidRDefault="001C7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75DC" w14:textId="0A17F70F" w:rsidR="0085149E" w:rsidRDefault="0085149E" w:rsidP="0085149E">
    <w:pPr>
      <w:pStyle w:val="Nagwek"/>
      <w:spacing w:before="240"/>
      <w:ind w:firstLine="1843"/>
      <w:rPr>
        <w:rFonts w:ascii="Arial" w:hAnsi="Arial" w:cs="Arial"/>
      </w:rPr>
    </w:pPr>
  </w:p>
  <w:p w14:paraId="78CA6231" w14:textId="05CA8BD2" w:rsidR="00785274" w:rsidRDefault="009C5CAF" w:rsidP="009C5CAF">
    <w:pPr>
      <w:pStyle w:val="Nagwek"/>
      <w:tabs>
        <w:tab w:val="clear" w:pos="4536"/>
        <w:tab w:val="clear" w:pos="9072"/>
        <w:tab w:val="right" w:pos="9864"/>
      </w:tabs>
      <w:ind w:firstLine="1843"/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4BF4" w14:textId="77777777" w:rsidR="00CB26E2" w:rsidRDefault="00CB26E2" w:rsidP="00CB26E2">
    <w:pPr>
      <w:pStyle w:val="Nagwek"/>
      <w:spacing w:before="240"/>
      <w:ind w:firstLine="1843"/>
      <w:rPr>
        <w:rFonts w:ascii="Arial" w:hAnsi="Arial" w:cs="Arial"/>
      </w:rPr>
    </w:pPr>
    <w:r w:rsidRPr="008E325F">
      <w:rPr>
        <w:rFonts w:ascii="Arial" w:hAnsi="Arial" w:cs="Arial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7F98328" wp14:editId="6A297596">
          <wp:simplePos x="0" y="0"/>
          <wp:positionH relativeFrom="margin">
            <wp:posOffset>5689171</wp:posOffset>
          </wp:positionH>
          <wp:positionV relativeFrom="paragraph">
            <wp:posOffset>28020</wp:posOffset>
          </wp:positionV>
          <wp:extent cx="549298" cy="660401"/>
          <wp:effectExtent l="0" t="0" r="3175" b="6350"/>
          <wp:wrapNone/>
          <wp:docPr id="1622548956" name="Obraz 1622548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390F673" wp14:editId="7B4B7663">
          <wp:simplePos x="0" y="0"/>
          <wp:positionH relativeFrom="margin">
            <wp:align>left</wp:align>
          </wp:positionH>
          <wp:positionV relativeFrom="paragraph">
            <wp:posOffset>11994</wp:posOffset>
          </wp:positionV>
          <wp:extent cx="1033145" cy="643890"/>
          <wp:effectExtent l="0" t="0" r="0" b="3810"/>
          <wp:wrapNone/>
          <wp:docPr id="2002428510" name="Obraz 200242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5F4EAAC0" w14:textId="77777777" w:rsidR="00CB26E2" w:rsidRDefault="00CB26E2" w:rsidP="00CB26E2">
    <w:pPr>
      <w:pStyle w:val="Nagwek"/>
      <w:ind w:firstLine="1843"/>
      <w:rPr>
        <w:rFonts w:ascii="Arial" w:hAnsi="Arial" w:cs="Arial"/>
      </w:rPr>
    </w:pPr>
    <w:r w:rsidRPr="008E325F">
      <w:rPr>
        <w:rFonts w:ascii="Arial" w:hAnsi="Arial" w:cs="Arial"/>
      </w:rPr>
      <w:t>w Zgorzelcu</w:t>
    </w:r>
  </w:p>
  <w:p w14:paraId="56241B85" w14:textId="68B4E535" w:rsidR="009F587E" w:rsidRDefault="009F58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7877"/>
    <w:multiLevelType w:val="hybridMultilevel"/>
    <w:tmpl w:val="665AFB44"/>
    <w:lvl w:ilvl="0" w:tplc="4C8A9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D86"/>
    <w:multiLevelType w:val="hybridMultilevel"/>
    <w:tmpl w:val="E8ACD50E"/>
    <w:lvl w:ilvl="0" w:tplc="21E823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50D5"/>
    <w:multiLevelType w:val="hybridMultilevel"/>
    <w:tmpl w:val="47641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DD4398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64"/>
    <w:multiLevelType w:val="hybridMultilevel"/>
    <w:tmpl w:val="801EA706"/>
    <w:lvl w:ilvl="0" w:tplc="2A2A1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6F3"/>
    <w:multiLevelType w:val="hybridMultilevel"/>
    <w:tmpl w:val="5B704768"/>
    <w:lvl w:ilvl="0" w:tplc="5C2C59A6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36F2"/>
    <w:multiLevelType w:val="hybridMultilevel"/>
    <w:tmpl w:val="4FB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5258"/>
    <w:multiLevelType w:val="hybridMultilevel"/>
    <w:tmpl w:val="9AF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143E"/>
    <w:multiLevelType w:val="hybridMultilevel"/>
    <w:tmpl w:val="B5609A8A"/>
    <w:lvl w:ilvl="0" w:tplc="46408F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97030"/>
    <w:multiLevelType w:val="hybridMultilevel"/>
    <w:tmpl w:val="3EDAA9DA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A08"/>
    <w:multiLevelType w:val="hybridMultilevel"/>
    <w:tmpl w:val="A13C17AA"/>
    <w:lvl w:ilvl="0" w:tplc="52144D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1315"/>
    <w:multiLevelType w:val="hybridMultilevel"/>
    <w:tmpl w:val="DCD68D7E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4A79"/>
    <w:multiLevelType w:val="hybridMultilevel"/>
    <w:tmpl w:val="3C340AE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400D"/>
    <w:multiLevelType w:val="hybridMultilevel"/>
    <w:tmpl w:val="AA120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B397A"/>
    <w:multiLevelType w:val="hybridMultilevel"/>
    <w:tmpl w:val="5992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C5DAE"/>
    <w:multiLevelType w:val="hybridMultilevel"/>
    <w:tmpl w:val="7FF682C6"/>
    <w:lvl w:ilvl="0" w:tplc="355452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3304C"/>
    <w:multiLevelType w:val="hybridMultilevel"/>
    <w:tmpl w:val="4050C27C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D1417"/>
    <w:multiLevelType w:val="hybridMultilevel"/>
    <w:tmpl w:val="F91086EC"/>
    <w:lvl w:ilvl="0" w:tplc="9970F74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33E449E"/>
    <w:multiLevelType w:val="hybridMultilevel"/>
    <w:tmpl w:val="414427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B0170"/>
    <w:multiLevelType w:val="hybridMultilevel"/>
    <w:tmpl w:val="82EC1BA8"/>
    <w:lvl w:ilvl="0" w:tplc="C3EE308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20F6F"/>
    <w:multiLevelType w:val="hybridMultilevel"/>
    <w:tmpl w:val="A1C6D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B4A4A"/>
    <w:multiLevelType w:val="hybridMultilevel"/>
    <w:tmpl w:val="9DA2D982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280F"/>
    <w:multiLevelType w:val="hybridMultilevel"/>
    <w:tmpl w:val="F4C6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08">
    <w:abstractNumId w:val="13"/>
  </w:num>
  <w:num w:numId="2" w16cid:durableId="1202547429">
    <w:abstractNumId w:val="6"/>
  </w:num>
  <w:num w:numId="3" w16cid:durableId="1707294267">
    <w:abstractNumId w:val="10"/>
  </w:num>
  <w:num w:numId="4" w16cid:durableId="414202615">
    <w:abstractNumId w:val="5"/>
  </w:num>
  <w:num w:numId="5" w16cid:durableId="2073238488">
    <w:abstractNumId w:val="8"/>
  </w:num>
  <w:num w:numId="6" w16cid:durableId="10838188">
    <w:abstractNumId w:val="18"/>
  </w:num>
  <w:num w:numId="7" w16cid:durableId="338430914">
    <w:abstractNumId w:val="12"/>
  </w:num>
  <w:num w:numId="8" w16cid:durableId="281423235">
    <w:abstractNumId w:val="20"/>
  </w:num>
  <w:num w:numId="9" w16cid:durableId="1512450708">
    <w:abstractNumId w:val="2"/>
  </w:num>
  <w:num w:numId="10" w16cid:durableId="1298418582">
    <w:abstractNumId w:val="17"/>
  </w:num>
  <w:num w:numId="11" w16cid:durableId="1517496688">
    <w:abstractNumId w:val="3"/>
  </w:num>
  <w:num w:numId="12" w16cid:durableId="1058937667">
    <w:abstractNumId w:val="21"/>
  </w:num>
  <w:num w:numId="13" w16cid:durableId="1184785776">
    <w:abstractNumId w:val="4"/>
  </w:num>
  <w:num w:numId="14" w16cid:durableId="1172795263">
    <w:abstractNumId w:val="15"/>
  </w:num>
  <w:num w:numId="15" w16cid:durableId="1669868965">
    <w:abstractNumId w:val="9"/>
  </w:num>
  <w:num w:numId="16" w16cid:durableId="711731866">
    <w:abstractNumId w:val="7"/>
  </w:num>
  <w:num w:numId="17" w16cid:durableId="677776349">
    <w:abstractNumId w:val="16"/>
  </w:num>
  <w:num w:numId="18" w16cid:durableId="1315648901">
    <w:abstractNumId w:val="0"/>
  </w:num>
  <w:num w:numId="19" w16cid:durableId="1793160523">
    <w:abstractNumId w:val="1"/>
  </w:num>
  <w:num w:numId="20" w16cid:durableId="5840690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218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0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7845828">
    <w:abstractNumId w:val="11"/>
  </w:num>
  <w:num w:numId="24" w16cid:durableId="398021095">
    <w:abstractNumId w:val="14"/>
  </w:num>
  <w:num w:numId="25" w16cid:durableId="13769288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D7841"/>
    <w:rsid w:val="001A149F"/>
    <w:rsid w:val="001C7DF3"/>
    <w:rsid w:val="00343BC4"/>
    <w:rsid w:val="00350DB4"/>
    <w:rsid w:val="00363D17"/>
    <w:rsid w:val="00376A06"/>
    <w:rsid w:val="00405208"/>
    <w:rsid w:val="00443EAF"/>
    <w:rsid w:val="00445EDD"/>
    <w:rsid w:val="004C0802"/>
    <w:rsid w:val="005A3433"/>
    <w:rsid w:val="005D281A"/>
    <w:rsid w:val="006E20CB"/>
    <w:rsid w:val="00744010"/>
    <w:rsid w:val="00761FEB"/>
    <w:rsid w:val="00785274"/>
    <w:rsid w:val="007D20E2"/>
    <w:rsid w:val="00810E0F"/>
    <w:rsid w:val="008170C5"/>
    <w:rsid w:val="0085149E"/>
    <w:rsid w:val="00877E0E"/>
    <w:rsid w:val="008B7DF0"/>
    <w:rsid w:val="009329CD"/>
    <w:rsid w:val="009C3338"/>
    <w:rsid w:val="009C5CAF"/>
    <w:rsid w:val="009F587E"/>
    <w:rsid w:val="00A01492"/>
    <w:rsid w:val="00A03D28"/>
    <w:rsid w:val="00A04BCA"/>
    <w:rsid w:val="00A25FF1"/>
    <w:rsid w:val="00A32EF5"/>
    <w:rsid w:val="00A34D4E"/>
    <w:rsid w:val="00AB26B7"/>
    <w:rsid w:val="00AC4526"/>
    <w:rsid w:val="00AD69BE"/>
    <w:rsid w:val="00C45076"/>
    <w:rsid w:val="00CB26E2"/>
    <w:rsid w:val="00DC6AD4"/>
    <w:rsid w:val="00DD56E3"/>
    <w:rsid w:val="00E25C2B"/>
    <w:rsid w:val="00E427B2"/>
    <w:rsid w:val="00E5280B"/>
    <w:rsid w:val="00F17830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table" w:styleId="Tabela-Siatka">
    <w:name w:val="Table Grid"/>
    <w:basedOn w:val="Standardowy"/>
    <w:uiPriority w:val="39"/>
    <w:rsid w:val="009F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281A"/>
    <w:pPr>
      <w:ind w:left="720"/>
      <w:contextualSpacing/>
    </w:pPr>
  </w:style>
  <w:style w:type="paragraph" w:customStyle="1" w:styleId="Normalny1">
    <w:name w:val="Normalny1"/>
    <w:basedOn w:val="Normalny"/>
    <w:rsid w:val="00E52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4D21-CE47-4710-A3DA-0545BB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3</cp:revision>
  <cp:lastPrinted>2025-07-02T08:15:00Z</cp:lastPrinted>
  <dcterms:created xsi:type="dcterms:W3CDTF">2025-08-11T11:49:00Z</dcterms:created>
  <dcterms:modified xsi:type="dcterms:W3CDTF">2025-08-11T11:53:00Z</dcterms:modified>
</cp:coreProperties>
</file>