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1218" w14:textId="37731C5A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6828B1E" w14:textId="77777777" w:rsidR="007E370B" w:rsidRDefault="007E370B" w:rsidP="008C5220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419F2DA2" w14:textId="77777777" w:rsidR="007E370B" w:rsidRDefault="007E370B" w:rsidP="007E370B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52AAA3F" w14:textId="77777777" w:rsidR="00DE41B9" w:rsidRPr="006178CF" w:rsidRDefault="00DE41B9" w:rsidP="008C5220">
      <w:pPr>
        <w:spacing w:after="0" w:line="220" w:lineRule="exact"/>
        <w:jc w:val="both"/>
        <w:rPr>
          <w:rFonts w:ascii="Arial" w:hAnsi="Arial" w:cs="Arial"/>
          <w:color w:val="00B050"/>
          <w:sz w:val="18"/>
          <w:szCs w:val="18"/>
        </w:rPr>
      </w:pPr>
    </w:p>
    <w:p w14:paraId="7746DB6F" w14:textId="3038778C" w:rsidR="006178CF" w:rsidRPr="006178CF" w:rsidRDefault="006178CF" w:rsidP="006178CF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00B050"/>
          <w:sz w:val="28"/>
          <w:szCs w:val="28"/>
        </w:rPr>
      </w:pPr>
      <w:bookmarkStart w:id="0" w:name="_Hlk223960282"/>
      <w:r w:rsidRPr="006178CF">
        <w:rPr>
          <w:rFonts w:ascii="Arial" w:eastAsia="Calibri" w:hAnsi="Arial" w:cs="Arial"/>
          <w:b/>
          <w:color w:val="00B050"/>
          <w:sz w:val="28"/>
          <w:szCs w:val="28"/>
        </w:rPr>
        <w:t>ZASADY FINANSOWANIA KOSZTÓW POTWIERDZENIA NABYCIA WIEDZY I UMIEJĘTNOŚCI LUB UZYSKANIA DOKUMENTU POTWIERDZAJĄCEGO NABYCIE WIEDZY I UMIEJĘTNOŚCI</w:t>
      </w:r>
      <w:r w:rsidR="008F5451">
        <w:rPr>
          <w:rFonts w:ascii="Arial" w:eastAsia="Calibri" w:hAnsi="Arial" w:cs="Arial"/>
          <w:b/>
          <w:color w:val="00B050"/>
          <w:sz w:val="28"/>
          <w:szCs w:val="28"/>
        </w:rPr>
        <w:t xml:space="preserve"> </w:t>
      </w:r>
      <w:r w:rsidR="00ED7BF0">
        <w:rPr>
          <w:rFonts w:ascii="Arial" w:eastAsia="Calibri" w:hAnsi="Arial" w:cs="Arial"/>
          <w:b/>
          <w:color w:val="00B050"/>
          <w:sz w:val="28"/>
          <w:szCs w:val="28"/>
        </w:rPr>
        <w:t>W 2026r.</w:t>
      </w:r>
    </w:p>
    <w:p w14:paraId="745D398A" w14:textId="77777777" w:rsidR="006178CF" w:rsidRPr="006178CF" w:rsidRDefault="006178CF" w:rsidP="006178CF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00B050"/>
          <w:sz w:val="28"/>
          <w:szCs w:val="28"/>
        </w:rPr>
      </w:pPr>
    </w:p>
    <w:p w14:paraId="37756C07" w14:textId="77777777" w:rsidR="006178CF" w:rsidRPr="005120E9" w:rsidRDefault="006178CF" w:rsidP="006178CF">
      <w:pPr>
        <w:tabs>
          <w:tab w:val="left" w:pos="-142"/>
          <w:tab w:val="left" w:pos="7230"/>
        </w:tabs>
        <w:spacing w:after="0"/>
        <w:jc w:val="center"/>
        <w:rPr>
          <w:rFonts w:ascii="Arial" w:eastAsia="Calibri" w:hAnsi="Arial" w:cs="Arial"/>
          <w:b/>
          <w:color w:val="0070C0"/>
          <w:sz w:val="18"/>
          <w:szCs w:val="18"/>
        </w:rPr>
      </w:pPr>
    </w:p>
    <w:p w14:paraId="2EBE1CFD" w14:textId="77777777" w:rsidR="006178CF" w:rsidRPr="005120E9" w:rsidRDefault="006178CF" w:rsidP="006178CF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120E9">
        <w:rPr>
          <w:rFonts w:ascii="Arial" w:hAnsi="Arial" w:cs="Arial"/>
          <w:b/>
          <w:sz w:val="18"/>
          <w:szCs w:val="18"/>
          <w:u w:val="single"/>
        </w:rPr>
        <w:t xml:space="preserve">Podstawa prawna: </w:t>
      </w:r>
    </w:p>
    <w:p w14:paraId="4E6AE496" w14:textId="62E5BA14" w:rsidR="006178CF" w:rsidRPr="005120E9" w:rsidRDefault="00B67250" w:rsidP="006178CF">
      <w:pPr>
        <w:numPr>
          <w:ilvl w:val="0"/>
          <w:numId w:val="3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6178CF" w:rsidRPr="005120E9">
        <w:rPr>
          <w:rFonts w:ascii="Arial" w:hAnsi="Arial" w:cs="Arial"/>
          <w:sz w:val="18"/>
          <w:szCs w:val="18"/>
        </w:rPr>
        <w:t>stawa z dnia 20 marca 2025 r. o rynku pracy i służbach zatrudnienia</w:t>
      </w:r>
      <w:r>
        <w:rPr>
          <w:rFonts w:ascii="Arial" w:hAnsi="Arial" w:cs="Arial"/>
          <w:sz w:val="18"/>
          <w:szCs w:val="18"/>
        </w:rPr>
        <w:t xml:space="preserve"> (zwana dalej „Ustawą”),</w:t>
      </w:r>
    </w:p>
    <w:p w14:paraId="75D01DB0" w14:textId="7216E8D0" w:rsidR="006178CF" w:rsidRPr="005120E9" w:rsidRDefault="006178CF" w:rsidP="006178CF">
      <w:pPr>
        <w:numPr>
          <w:ilvl w:val="0"/>
          <w:numId w:val="3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5120E9">
        <w:rPr>
          <w:rFonts w:ascii="Arial" w:hAnsi="Arial" w:cs="Arial"/>
          <w:sz w:val="18"/>
          <w:szCs w:val="18"/>
        </w:rPr>
        <w:t xml:space="preserve">Rozporządzenie Ministra </w:t>
      </w:r>
      <w:r w:rsidR="002F599F">
        <w:rPr>
          <w:rFonts w:ascii="Arial" w:hAnsi="Arial" w:cs="Arial"/>
          <w:sz w:val="18"/>
          <w:szCs w:val="18"/>
        </w:rPr>
        <w:t>R</w:t>
      </w:r>
      <w:r w:rsidRPr="005120E9">
        <w:rPr>
          <w:rFonts w:ascii="Arial" w:hAnsi="Arial" w:cs="Arial"/>
          <w:sz w:val="18"/>
          <w:szCs w:val="18"/>
        </w:rPr>
        <w:t xml:space="preserve">odziny, </w:t>
      </w:r>
      <w:r w:rsidR="00471BFF">
        <w:rPr>
          <w:rFonts w:ascii="Arial" w:hAnsi="Arial" w:cs="Arial"/>
          <w:sz w:val="18"/>
          <w:szCs w:val="18"/>
        </w:rPr>
        <w:t>P</w:t>
      </w:r>
      <w:r w:rsidRPr="005120E9">
        <w:rPr>
          <w:rFonts w:ascii="Arial" w:hAnsi="Arial" w:cs="Arial"/>
          <w:sz w:val="18"/>
          <w:szCs w:val="18"/>
        </w:rPr>
        <w:t xml:space="preserve">racy i </w:t>
      </w:r>
      <w:r w:rsidR="00471BFF">
        <w:rPr>
          <w:rFonts w:ascii="Arial" w:hAnsi="Arial" w:cs="Arial"/>
          <w:sz w:val="18"/>
          <w:szCs w:val="18"/>
        </w:rPr>
        <w:t>P</w:t>
      </w:r>
      <w:r w:rsidRPr="005120E9">
        <w:rPr>
          <w:rFonts w:ascii="Arial" w:hAnsi="Arial" w:cs="Arial"/>
          <w:sz w:val="18"/>
          <w:szCs w:val="18"/>
        </w:rPr>
        <w:t xml:space="preserve">olityki </w:t>
      </w:r>
      <w:r w:rsidR="00471BFF">
        <w:rPr>
          <w:rFonts w:ascii="Arial" w:hAnsi="Arial" w:cs="Arial"/>
          <w:sz w:val="18"/>
          <w:szCs w:val="18"/>
        </w:rPr>
        <w:t>S</w:t>
      </w:r>
      <w:r w:rsidRPr="005120E9">
        <w:rPr>
          <w:rFonts w:ascii="Arial" w:hAnsi="Arial" w:cs="Arial"/>
          <w:sz w:val="18"/>
          <w:szCs w:val="18"/>
        </w:rPr>
        <w:t>połecznej z dnia 24 października 2025 r. w sprawie sposobu</w:t>
      </w:r>
      <w:r w:rsidR="000A6676">
        <w:rPr>
          <w:rFonts w:ascii="Arial" w:hAnsi="Arial" w:cs="Arial"/>
          <w:sz w:val="18"/>
          <w:szCs w:val="18"/>
        </w:rPr>
        <w:br/>
        <w:t xml:space="preserve"> i trybu</w:t>
      </w:r>
      <w:r w:rsidRPr="005120E9">
        <w:rPr>
          <w:rFonts w:ascii="Arial" w:hAnsi="Arial" w:cs="Arial"/>
          <w:sz w:val="18"/>
          <w:szCs w:val="18"/>
        </w:rPr>
        <w:t xml:space="preserve"> realizacji przez starostę pomocy bezrobotnym i poszukującym pracy w nabywaniu wiedzy, umiejętności lub kwalifikacji</w:t>
      </w:r>
      <w:r w:rsidR="000A6676">
        <w:rPr>
          <w:rFonts w:ascii="Arial" w:hAnsi="Arial" w:cs="Arial"/>
          <w:sz w:val="18"/>
          <w:szCs w:val="18"/>
        </w:rPr>
        <w:t>.</w:t>
      </w:r>
    </w:p>
    <w:p w14:paraId="4C0FE8EA" w14:textId="77777777" w:rsidR="006178CF" w:rsidRPr="005120E9" w:rsidRDefault="006178CF" w:rsidP="006178CF">
      <w:pPr>
        <w:spacing w:after="0" w:line="2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19673C24" w14:textId="77777777" w:rsidR="006178CF" w:rsidRDefault="006178CF" w:rsidP="006178CF">
      <w:pPr>
        <w:spacing w:after="0" w:line="22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Zakres finansowania</w:t>
      </w:r>
    </w:p>
    <w:p w14:paraId="287AF078" w14:textId="77777777" w:rsidR="006178CF" w:rsidRPr="005120E9" w:rsidRDefault="006178CF" w:rsidP="006178CF">
      <w:pPr>
        <w:spacing w:after="0" w:line="22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F67F8B3" w14:textId="5AA4C618" w:rsidR="006178CF" w:rsidRDefault="006178CF" w:rsidP="006178CF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wniosek bezrobotnego lub poszukującego pracy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powiatowy urząd pracy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może sfinansować koszty potwierdzenia nabycia wiedzy i umiejętności lub uzyskania dokumentu potwierdzającego nabycie wiedzy i umiejętności </w:t>
      </w:r>
      <w:r w:rsidRPr="00E32EE7">
        <w:rPr>
          <w:rFonts w:ascii="Arial" w:eastAsia="Times New Roman" w:hAnsi="Arial" w:cs="Arial"/>
          <w:sz w:val="18"/>
          <w:szCs w:val="18"/>
          <w:u w:val="single"/>
          <w:lang w:eastAsia="pl-PL"/>
        </w:rPr>
        <w:t>do wysokości przeciętnego wynagrodzenia.</w:t>
      </w:r>
      <w:r w:rsidR="000F491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</w:p>
    <w:p w14:paraId="704C94D0" w14:textId="50829905" w:rsidR="000F4919" w:rsidRPr="00520DB6" w:rsidRDefault="000F4919" w:rsidP="000F4919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224711902"/>
      <w:r w:rsidRPr="00520DB6">
        <w:rPr>
          <w:rFonts w:ascii="Arial" w:eastAsia="Times New Roman" w:hAnsi="Arial" w:cs="Arial"/>
          <w:sz w:val="18"/>
          <w:szCs w:val="18"/>
          <w:lang w:eastAsia="pl-PL"/>
        </w:rPr>
        <w:t xml:space="preserve">Ustalając kwotę dofinansowania, wysokość przeciętnego wynagrodzenia przyjmuje się na dzień złożenia wniosku </w:t>
      </w:r>
      <w:r w:rsidRPr="00520DB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/lub podpisania umowy o sfinansowanie kosztów potwierdzenia nabycia wiedzy i umiejętności lub uzyskania dokumentu potwierdzającego nabycie wiedzy i umiejętności. Przeciętne wynagrodzenie ogłaszane jest przez Prezesa Głównego Urzędu Statystycznego w Dzienniku Urzędowym Rzeczypospolitej Polskiej „Monitor Polski” na podstawie art. 20 pkt 2 ustawy z dnia 17 grudnia 1998r. o emeryturach i rentach z Funduszu Ubezpieczeń Społecznych (Dz. U. z 2025r. poz. 1749 z </w:t>
      </w:r>
      <w:proofErr w:type="spellStart"/>
      <w:r w:rsidRPr="00520DB6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20DB6">
        <w:rPr>
          <w:rFonts w:ascii="Arial" w:eastAsia="Times New Roman" w:hAnsi="Arial" w:cs="Arial"/>
          <w:sz w:val="18"/>
          <w:szCs w:val="18"/>
          <w:lang w:eastAsia="pl-PL"/>
        </w:rPr>
        <w:t>. zm.) – zgodnie z art. 2 pkt 34 Ustawy.</w:t>
      </w:r>
    </w:p>
    <w:bookmarkEnd w:id="1"/>
    <w:p w14:paraId="1569E896" w14:textId="4665C333" w:rsidR="000F4919" w:rsidRPr="00520DB6" w:rsidRDefault="000F4919" w:rsidP="000F4919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Sfinansowaniu podlegają koszty potwierdzenia nabycia wiedzy i umiejętności lub uzyskania dokumentów potwierdzających nabycie wiedzy i umiej</w:t>
      </w:r>
      <w:r w:rsidR="00745D6C" w:rsidRPr="00520DB6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520DB6">
        <w:rPr>
          <w:rFonts w:ascii="Arial" w:eastAsia="Times New Roman" w:hAnsi="Arial" w:cs="Arial"/>
          <w:sz w:val="18"/>
          <w:szCs w:val="18"/>
          <w:lang w:eastAsia="pl-PL"/>
        </w:rPr>
        <w:t>tności</w:t>
      </w:r>
      <w:r w:rsidR="00745D6C" w:rsidRPr="00520DB6">
        <w:rPr>
          <w:rFonts w:ascii="Arial" w:eastAsia="Times New Roman" w:hAnsi="Arial" w:cs="Arial"/>
          <w:sz w:val="18"/>
          <w:szCs w:val="18"/>
          <w:lang w:eastAsia="pl-PL"/>
        </w:rPr>
        <w:t>, które realizują podmioty do tego uprawnione.</w:t>
      </w:r>
    </w:p>
    <w:p w14:paraId="60B34218" w14:textId="28BA8863" w:rsidR="00745D6C" w:rsidRPr="00520DB6" w:rsidRDefault="0073409C" w:rsidP="000F4919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Urząd nie finansuje kolejnych kosztów potwierdzenia wiedzy i umiejętności ani uzyskania dokumentów potwierdzających ich nabycie osobom, które wcześniej otrzymały dofinansowanie w tym samym zakresie.</w:t>
      </w:r>
    </w:p>
    <w:p w14:paraId="22BC9AFC" w14:textId="77777777" w:rsidR="006178CF" w:rsidRDefault="006178CF" w:rsidP="006178CF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celu zapewnienia </w:t>
      </w:r>
      <w:r>
        <w:rPr>
          <w:rFonts w:ascii="Arial" w:eastAsia="Times New Roman" w:hAnsi="Arial" w:cs="Arial"/>
          <w:sz w:val="18"/>
          <w:szCs w:val="18"/>
          <w:lang w:eastAsia="pl-PL"/>
        </w:rPr>
        <w:t>wysokiej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jakości udzielanej pomocy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Urząd zleca realizację usługi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w instytucji potwierdzającej nabycie wiedzy i umiejętności lub instytucji wydającej dokumenty potwierdzające nabycie wiedzy i umiejętności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z zachowaniem obowiązujących procedur oraz mając na uwadze zasady konkurencyjności, równego traktowania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>i przejrzystość.</w:t>
      </w:r>
    </w:p>
    <w:p w14:paraId="3892729D" w14:textId="77777777" w:rsidR="006178CF" w:rsidRPr="00C36024" w:rsidRDefault="006178CF" w:rsidP="006178CF">
      <w:pPr>
        <w:numPr>
          <w:ilvl w:val="0"/>
          <w:numId w:val="23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C36024">
        <w:rPr>
          <w:rFonts w:ascii="Arial" w:hAnsi="Arial" w:cs="Arial"/>
          <w:iCs/>
          <w:sz w:val="18"/>
          <w:szCs w:val="18"/>
        </w:rPr>
        <w:t>Wybór instytucji potwierdzającej nabycie wiedzy i umiejętności, której zostanie zlecone przeprowadzenie procesu walidacji, w tym egzaminów lub innych form potwierdzenia osiągnięcia efektów uczenia się oraz wydanie dokumentu potwierdzającego kwalifikacje, dokonywany jest z zachowaniem zasad celowości, gospodarności i efektywności wydatkowania środków publicznych.</w:t>
      </w:r>
    </w:p>
    <w:p w14:paraId="6543CC4C" w14:textId="77777777" w:rsidR="006178CF" w:rsidRPr="00C36024" w:rsidRDefault="006178CF" w:rsidP="006178CF">
      <w:pPr>
        <w:numPr>
          <w:ilvl w:val="0"/>
          <w:numId w:val="23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C36024">
        <w:rPr>
          <w:rFonts w:ascii="Arial" w:hAnsi="Arial" w:cs="Arial"/>
          <w:iCs/>
          <w:sz w:val="18"/>
          <w:szCs w:val="18"/>
        </w:rPr>
        <w:t xml:space="preserve">Jeżeli wysokość opłat za przeprowadzenie procesu walidacji oraz wydanie dokumentu potwierdzającego kwalifikacje nie została określona w przepisach prawa powszechnie obowiązującego, oficjalnych taryfikatorach lub wytycznych właściwych organów, wybór instytucji dokonywany jest w oparciu o </w:t>
      </w:r>
      <w:r w:rsidRPr="003F48B0">
        <w:rPr>
          <w:rFonts w:ascii="Arial" w:hAnsi="Arial" w:cs="Arial"/>
          <w:iCs/>
          <w:sz w:val="18"/>
          <w:szCs w:val="18"/>
        </w:rPr>
        <w:t>kryterium ceny,</w:t>
      </w:r>
      <w:r w:rsidRPr="00C36024">
        <w:rPr>
          <w:rFonts w:ascii="Arial" w:hAnsi="Arial" w:cs="Arial"/>
          <w:iCs/>
          <w:sz w:val="18"/>
          <w:szCs w:val="18"/>
        </w:rPr>
        <w:t xml:space="preserve"> rozumiane jako najniższy łączny koszt przeprowadzenia walidacji oraz wydania dokumentu potwierdzającego kwalifikacje.</w:t>
      </w:r>
    </w:p>
    <w:p w14:paraId="75016296" w14:textId="77777777" w:rsidR="006178CF" w:rsidRDefault="006178CF" w:rsidP="006178CF">
      <w:pPr>
        <w:numPr>
          <w:ilvl w:val="0"/>
          <w:numId w:val="23"/>
        </w:numPr>
        <w:spacing w:after="0"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C36024">
        <w:rPr>
          <w:rFonts w:ascii="Arial" w:hAnsi="Arial" w:cs="Arial"/>
          <w:iCs/>
          <w:sz w:val="18"/>
          <w:szCs w:val="18"/>
        </w:rPr>
        <w:t>Kryterium ceny nie ma zastosowania w przypadku, gdy wysokość opłat za przeprowadzenie walidacji lub wydanie dokumentu potwierdzającego kwalifikacje została określona w</w:t>
      </w:r>
      <w:r>
        <w:rPr>
          <w:rFonts w:ascii="Arial" w:hAnsi="Arial" w:cs="Arial"/>
          <w:iCs/>
          <w:sz w:val="18"/>
          <w:szCs w:val="18"/>
        </w:rPr>
        <w:t>:</w:t>
      </w:r>
    </w:p>
    <w:p w14:paraId="513012AC" w14:textId="77777777" w:rsidR="006178CF" w:rsidRDefault="006178CF" w:rsidP="006178CF">
      <w:pPr>
        <w:pStyle w:val="Akapitzlist"/>
        <w:numPr>
          <w:ilvl w:val="0"/>
          <w:numId w:val="24"/>
        </w:numPr>
        <w:spacing w:after="0" w:line="220" w:lineRule="exact"/>
        <w:rPr>
          <w:rFonts w:ascii="Arial" w:hAnsi="Arial" w:cs="Arial"/>
          <w:iCs/>
          <w:sz w:val="18"/>
          <w:szCs w:val="18"/>
        </w:rPr>
      </w:pPr>
      <w:r w:rsidRPr="00E32EE7">
        <w:rPr>
          <w:rFonts w:ascii="Arial" w:hAnsi="Arial" w:cs="Arial"/>
          <w:iCs/>
          <w:sz w:val="18"/>
          <w:szCs w:val="18"/>
        </w:rPr>
        <w:t>przepisach rozporządzeń regulujących wysokość opłat egzaminacyjnych,</w:t>
      </w:r>
    </w:p>
    <w:p w14:paraId="3C4925D4" w14:textId="77777777" w:rsidR="006178CF" w:rsidRDefault="006178CF" w:rsidP="006178CF">
      <w:pPr>
        <w:pStyle w:val="Akapitzlist"/>
        <w:numPr>
          <w:ilvl w:val="0"/>
          <w:numId w:val="24"/>
        </w:numPr>
        <w:spacing w:after="0" w:line="220" w:lineRule="exact"/>
        <w:rPr>
          <w:rFonts w:ascii="Arial" w:hAnsi="Arial" w:cs="Arial"/>
          <w:iCs/>
          <w:sz w:val="18"/>
          <w:szCs w:val="18"/>
        </w:rPr>
      </w:pPr>
      <w:r w:rsidRPr="00E32EE7">
        <w:rPr>
          <w:rFonts w:ascii="Arial" w:hAnsi="Arial" w:cs="Arial"/>
          <w:iCs/>
          <w:sz w:val="18"/>
          <w:szCs w:val="18"/>
        </w:rPr>
        <w:t>oficjalnych cennikach instytucji posiadających ustawowe uprawnienia do nadawania lub potwierdzania kwalifikacji,</w:t>
      </w:r>
    </w:p>
    <w:p w14:paraId="5D3D0B95" w14:textId="77777777" w:rsidR="006178CF" w:rsidRPr="00E32EE7" w:rsidRDefault="006178CF" w:rsidP="006178CF">
      <w:pPr>
        <w:pStyle w:val="Akapitzlist"/>
        <w:numPr>
          <w:ilvl w:val="0"/>
          <w:numId w:val="24"/>
        </w:numPr>
        <w:spacing w:after="0" w:line="220" w:lineRule="exact"/>
        <w:rPr>
          <w:rFonts w:ascii="Arial" w:hAnsi="Arial" w:cs="Arial"/>
          <w:iCs/>
          <w:sz w:val="18"/>
          <w:szCs w:val="18"/>
        </w:rPr>
      </w:pPr>
      <w:r w:rsidRPr="00E32EE7">
        <w:rPr>
          <w:rFonts w:ascii="Arial" w:hAnsi="Arial" w:cs="Arial"/>
          <w:iCs/>
          <w:sz w:val="18"/>
          <w:szCs w:val="18"/>
        </w:rPr>
        <w:t>wytycznych podmiotów właściwych dla danej kwalifikacji, w tym instytucji certyfikujących wpisanych do Zintegrowanego Systemu Kwalifikacji.</w:t>
      </w:r>
    </w:p>
    <w:p w14:paraId="09F23D9B" w14:textId="77777777" w:rsidR="006178CF" w:rsidRPr="001B57BD" w:rsidRDefault="006178CF" w:rsidP="006178CF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Powyższe zasady nie mają zastosowania w przypadku, gdy proces potwierdzenia nabycia wiedzy i umiejętności lub uzyskania dokumentu potwierdzającego nabycie wiedzy i umiejętności realizowany jest w ramach umowy szkoleniowej zawieranej z instytucją szkoleniową.</w:t>
      </w:r>
    </w:p>
    <w:p w14:paraId="2D321B0F" w14:textId="77777777" w:rsidR="006178CF" w:rsidRPr="005120E9" w:rsidRDefault="006178CF" w:rsidP="006178CF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44C751" w14:textId="77777777" w:rsidR="006178CF" w:rsidRDefault="006178CF" w:rsidP="006178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Pierwszeństwo w skierowaniu do udziału w formach pomocy przysługuje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9F6975" w14:textId="77777777" w:rsidR="006178CF" w:rsidRPr="005120E9" w:rsidRDefault="006178CF" w:rsidP="006178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9D913C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bezrobotnym posiadającym Kartę Dużej Rodziny, o której mowa w art. 1 ust. 1 ustawy z dnia 5 grudnia 2014 r. o Karcie Dużej Rodziny;</w:t>
      </w:r>
    </w:p>
    <w:p w14:paraId="3CD97B92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bezrobotnym powyżej 50 roku życia;</w:t>
      </w:r>
    </w:p>
    <w:p w14:paraId="7E666288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lastRenderedPageBreak/>
        <w:t>bezrobotnym bez kwalifikacji zawodowych</w:t>
      </w:r>
    </w:p>
    <w:p w14:paraId="38DEFB16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bezrobotnym niepełnosprawnym;</w:t>
      </w:r>
    </w:p>
    <w:p w14:paraId="5D53423F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długotrwale bezrobotnym;</w:t>
      </w:r>
    </w:p>
    <w:p w14:paraId="5E21611F" w14:textId="77777777" w:rsidR="006178CF" w:rsidRPr="005120E9" w:rsidRDefault="006178CF" w:rsidP="006178CF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bezrobotnym i poszukującym pracy, będącym osobami do 30. roku życia;</w:t>
      </w:r>
    </w:p>
    <w:p w14:paraId="779D53E2" w14:textId="5CFC2297" w:rsidR="006178CF" w:rsidRPr="000D1278" w:rsidRDefault="006178CF" w:rsidP="000D1278">
      <w:pPr>
        <w:pStyle w:val="Akapitzlist"/>
        <w:numPr>
          <w:ilvl w:val="0"/>
          <w:numId w:val="19"/>
        </w:num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>bezrobotnym samotnie wychowującym co najmniej jedno dziecko.</w:t>
      </w:r>
    </w:p>
    <w:p w14:paraId="69CDA014" w14:textId="03769777" w:rsidR="006178CF" w:rsidRPr="005120E9" w:rsidRDefault="006178CF" w:rsidP="006178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Złożenie wniosku</w:t>
      </w:r>
    </w:p>
    <w:p w14:paraId="1083197A" w14:textId="77777777" w:rsidR="006178CF" w:rsidRDefault="006178CF" w:rsidP="006178CF">
      <w:pPr>
        <w:numPr>
          <w:ilvl w:val="0"/>
          <w:numId w:val="2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Osoba uprawniona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składa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Powiatowym Urzędzie Pracy w Zgorzelcu 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>wniosek o sfinansowanie kosztów potwierdzenia nabycia wiedzy i umiejętności lub uzyskania dokumentu potwierdzającego nabycie wiedzy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i umiejętności wraz z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>uzasadnieniem celowości udzielenia tej formy pomocy.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Uzasadnienie celowości finansowania pomocy może nastąpić w szczególności poprzez:</w:t>
      </w:r>
    </w:p>
    <w:p w14:paraId="10751A9D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deklarację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 pracodawcy lub przedsiębiorcy o zamiarze zatrudniania osoby uprawnionej </w:t>
      </w:r>
      <w:bookmarkStart w:id="2" w:name="_Hlk223942207"/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po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uzyskaniu 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>potwierdzeni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 nabycia wiedzy i umiejętności lub uzyskani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 dokumentu potwierdzającego nabycie wiedzy i umiejętności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bookmarkEnd w:id="2"/>
    <w:p w14:paraId="778AC2D6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wskazanie przez pracodawcę lub przedsiębiorcę zasadności sfinansowania wnioskowanej formy pomocy zatrudnionej osobie poszukującej pracy,</w:t>
      </w:r>
    </w:p>
    <w:p w14:paraId="216188BA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oświadczenie wnioskodawcy o zamiarze podjęcia, wznowienia lub rozszerzenia działalności gospodarczej 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po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uzyskaniu 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>potwierdzeni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 nabycia wiedzy i umiejętności lub uzyskani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197F8F">
        <w:rPr>
          <w:rFonts w:ascii="Arial" w:eastAsia="Times New Roman" w:hAnsi="Arial" w:cs="Arial"/>
          <w:sz w:val="18"/>
          <w:szCs w:val="18"/>
          <w:lang w:eastAsia="pl-PL"/>
        </w:rPr>
        <w:t xml:space="preserve"> dokumentu potwierdzającego nabycie wiedzy i umiejętności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5C6FA26" w14:textId="77777777" w:rsidR="006178CF" w:rsidRPr="005120E9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przedstawienie przez wnioskodawcę przyczyn bezpośrednio związanych z sytuacją na rynku pracy.</w:t>
      </w:r>
    </w:p>
    <w:p w14:paraId="2D774E96" w14:textId="77777777" w:rsidR="006178CF" w:rsidRDefault="006178CF" w:rsidP="006178CF">
      <w:pPr>
        <w:numPr>
          <w:ilvl w:val="0"/>
          <w:numId w:val="2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Wniosek należy złożyć w terminie naboru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ogłoszonego 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przez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Powiatowy Urząd Pracy w Zgorzelcu 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na formularzu dostępnym w siedzibie </w:t>
      </w:r>
      <w:r>
        <w:rPr>
          <w:rFonts w:ascii="Arial" w:eastAsia="Times New Roman" w:hAnsi="Arial" w:cs="Arial"/>
          <w:sz w:val="18"/>
          <w:szCs w:val="18"/>
          <w:lang w:eastAsia="pl-PL"/>
        </w:rPr>
        <w:t>Urzędu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oraz na stronie internetowej Urzędu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50E8E9B" w14:textId="77777777" w:rsidR="006178CF" w:rsidRPr="00533D6A" w:rsidRDefault="006178CF" w:rsidP="006178C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47BC">
        <w:rPr>
          <w:rFonts w:ascii="Arial" w:eastAsia="Times New Roman" w:hAnsi="Arial" w:cs="Arial"/>
          <w:sz w:val="18"/>
          <w:szCs w:val="18"/>
          <w:lang w:eastAsia="pl-PL"/>
        </w:rPr>
        <w:t xml:space="preserve">Wnioski składane poza ogłoszonym terminem </w:t>
      </w:r>
      <w:r w:rsidRPr="00533D6A">
        <w:rPr>
          <w:rFonts w:ascii="Arial" w:eastAsia="Times New Roman" w:hAnsi="Arial" w:cs="Arial"/>
          <w:sz w:val="18"/>
          <w:szCs w:val="18"/>
          <w:lang w:eastAsia="pl-PL"/>
        </w:rPr>
        <w:t>naboru nie podlegają rozpatrzeniu.</w:t>
      </w:r>
    </w:p>
    <w:p w14:paraId="2A81C067" w14:textId="77777777" w:rsidR="006178CF" w:rsidRDefault="006178CF" w:rsidP="006178C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33D6A">
        <w:rPr>
          <w:rFonts w:ascii="Arial" w:eastAsia="Times New Roman" w:hAnsi="Arial" w:cs="Arial"/>
          <w:sz w:val="18"/>
          <w:szCs w:val="18"/>
          <w:lang w:eastAsia="pl-PL"/>
        </w:rPr>
        <w:t xml:space="preserve">Wnioski przyjmowane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są </w:t>
      </w:r>
      <w:r w:rsidRPr="00533D6A">
        <w:rPr>
          <w:rFonts w:ascii="Arial" w:eastAsia="Times New Roman" w:hAnsi="Arial" w:cs="Arial"/>
          <w:sz w:val="18"/>
          <w:szCs w:val="18"/>
          <w:lang w:eastAsia="pl-PL"/>
        </w:rPr>
        <w:t xml:space="preserve">wyłącznie na </w:t>
      </w:r>
      <w:r>
        <w:rPr>
          <w:rFonts w:ascii="Arial" w:eastAsia="Times New Roman" w:hAnsi="Arial" w:cs="Arial"/>
          <w:sz w:val="18"/>
          <w:szCs w:val="18"/>
          <w:lang w:eastAsia="pl-PL"/>
        </w:rPr>
        <w:t>obowiązujących formularzach</w:t>
      </w:r>
      <w:r w:rsidRPr="00533D6A">
        <w:rPr>
          <w:rFonts w:ascii="Arial" w:eastAsia="Times New Roman" w:hAnsi="Arial" w:cs="Arial"/>
          <w:sz w:val="18"/>
          <w:szCs w:val="18"/>
          <w:lang w:eastAsia="pl-PL"/>
        </w:rPr>
        <w:t xml:space="preserve"> Urzędu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533D6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Wnioski złożone na innych formularzach nie będą rozpatrywane.</w:t>
      </w:r>
    </w:p>
    <w:p w14:paraId="4EBEFF11" w14:textId="77777777" w:rsidR="006178CF" w:rsidRPr="00B07F3A" w:rsidRDefault="006178CF" w:rsidP="006178CF">
      <w:pPr>
        <w:numPr>
          <w:ilvl w:val="0"/>
          <w:numId w:val="2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7F3A">
        <w:rPr>
          <w:rFonts w:ascii="Arial" w:hAnsi="Arial" w:cs="Arial"/>
          <w:sz w:val="18"/>
          <w:szCs w:val="18"/>
        </w:rPr>
        <w:t xml:space="preserve">We wniosku osoba uprawniona wskazuje </w:t>
      </w:r>
      <w:r>
        <w:rPr>
          <w:rFonts w:ascii="Arial" w:hAnsi="Arial" w:cs="Arial"/>
          <w:sz w:val="18"/>
          <w:szCs w:val="18"/>
        </w:rPr>
        <w:t>w szczególności:</w:t>
      </w:r>
    </w:p>
    <w:p w14:paraId="104C0C3D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 xml:space="preserve">nazwę dokumentu potwierdzającego nabycie wiedzy i umiejętności </w:t>
      </w: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 xml:space="preserve"> planowany termin jego uzyskania </w:t>
      </w:r>
      <w:r>
        <w:rPr>
          <w:rFonts w:ascii="Arial" w:eastAsia="Times New Roman" w:hAnsi="Arial" w:cs="Arial"/>
          <w:sz w:val="18"/>
          <w:szCs w:val="18"/>
          <w:lang w:eastAsia="pl-PL"/>
        </w:rPr>
        <w:t>oraz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 xml:space="preserve"> planowany termin egzaminu</w:t>
      </w:r>
      <w:r>
        <w:rPr>
          <w:rFonts w:ascii="Arial" w:eastAsia="Times New Roman" w:hAnsi="Arial" w:cs="Arial"/>
          <w:sz w:val="18"/>
          <w:szCs w:val="18"/>
          <w:lang w:eastAsia="pl-PL"/>
        </w:rPr>
        <w:t>, jeśli dotyczy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07E4A90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>nazwę, adres oraz numer rachunku płatniczego instytucji potwierdzającej nabycie wiedzy i umiejętności lub wydającej dokument potwierdzający nabycie wiedzy i umiejętności;</w:t>
      </w:r>
    </w:p>
    <w:p w14:paraId="17FF5E51" w14:textId="77777777" w:rsidR="006178CF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>koszt potwierdzenia nabycia wiedzy i umiejętności lub koszt uzyskania dokumentu potwierdzającego nabycie wiedzy i umiejętności;</w:t>
      </w:r>
    </w:p>
    <w:p w14:paraId="3AD20166" w14:textId="77777777" w:rsidR="006178CF" w:rsidRPr="005120E9" w:rsidRDefault="006178CF" w:rsidP="006178C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B07F3A">
        <w:rPr>
          <w:rFonts w:ascii="Arial" w:eastAsia="Times New Roman" w:hAnsi="Arial" w:cs="Arial"/>
          <w:sz w:val="18"/>
          <w:szCs w:val="18"/>
          <w:lang w:eastAsia="pl-PL"/>
        </w:rPr>
        <w:t>uzasadnienie potrzeby sfinansowania wskazanych kosztów.</w:t>
      </w:r>
    </w:p>
    <w:p w14:paraId="258C73D5" w14:textId="77777777" w:rsidR="006178CF" w:rsidRPr="005120E9" w:rsidRDefault="006178CF" w:rsidP="006178CF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Rozpatrzenie wniosku</w:t>
      </w:r>
    </w:p>
    <w:p w14:paraId="18447AB0" w14:textId="77777777" w:rsidR="006178CF" w:rsidRDefault="006178CF" w:rsidP="006178C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O sposobie rozpatrzenia wniosku Powiatowy Urząd Pracy w Zgorzelcu informuje osobę zainteresowaną w formie pisemnej w terminie do 30 dni od dnia złożenia prawidłowo sporządzonego wniosku </w:t>
      </w:r>
      <w:r>
        <w:rPr>
          <w:rFonts w:ascii="Arial" w:eastAsia="Times New Roman" w:hAnsi="Arial" w:cs="Arial"/>
          <w:sz w:val="18"/>
          <w:szCs w:val="18"/>
          <w:lang w:eastAsia="pl-PL"/>
        </w:rPr>
        <w:t>wraz z dokumentami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niezbędny</w:t>
      </w:r>
      <w:r>
        <w:rPr>
          <w:rFonts w:ascii="Arial" w:eastAsia="Times New Roman" w:hAnsi="Arial" w:cs="Arial"/>
          <w:sz w:val="18"/>
          <w:szCs w:val="18"/>
          <w:lang w:eastAsia="pl-PL"/>
        </w:rPr>
        <w:t>mi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do jego oceny. Informacja ta </w:t>
      </w:r>
      <w:r w:rsidRPr="00A41D9B">
        <w:rPr>
          <w:rFonts w:ascii="Arial" w:eastAsia="Times New Roman" w:hAnsi="Arial" w:cs="Arial"/>
          <w:sz w:val="18"/>
          <w:szCs w:val="18"/>
          <w:lang w:eastAsia="pl-PL"/>
        </w:rPr>
        <w:t>nie podlega procedurze odwoławczej.</w:t>
      </w:r>
    </w:p>
    <w:p w14:paraId="0B980DC5" w14:textId="71987769" w:rsidR="000F4919" w:rsidRPr="00520DB6" w:rsidRDefault="000F4919" w:rsidP="006178C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Urząd rozpatruje wyłącznie kompletne wnioski.</w:t>
      </w:r>
    </w:p>
    <w:p w14:paraId="41DAA4E4" w14:textId="546EDD7C" w:rsidR="000F4919" w:rsidRPr="00520DB6" w:rsidRDefault="000F4919" w:rsidP="006178C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W przypadku, gdy wniosek jest nieprawidłowo wypełniony lub niekompletny Urząd wyznacza wnioskodawcy 7-dniowy termin na jego poprawienie lub uzupełnienie. Wniosek niepoprawiony lub nieuzupełniony we wskazanym terminie pozostawia się bez rozpatrzenia.</w:t>
      </w:r>
    </w:p>
    <w:p w14:paraId="16237048" w14:textId="634F78D9" w:rsidR="006178CF" w:rsidRPr="002E1A76" w:rsidRDefault="006178CF" w:rsidP="006178C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1A76">
        <w:rPr>
          <w:rFonts w:ascii="Arial" w:eastAsia="Times New Roman" w:hAnsi="Arial" w:cs="Arial"/>
          <w:sz w:val="18"/>
          <w:szCs w:val="18"/>
          <w:lang w:eastAsia="pl-PL"/>
        </w:rPr>
        <w:t>Niewyłonienie wykonawcy skutkuje brakiem możliwości sfinansowania kosztów potwierdzenia nabycia wiedzy</w:t>
      </w:r>
      <w:r w:rsidRPr="002E1A7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 i umiejętności lub uzyskania dokumentu potwierdzającego nabycie wiedzy i umiejętności</w:t>
      </w:r>
      <w:r w:rsidR="00471BF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97326D" w14:textId="77777777" w:rsidR="006178CF" w:rsidRPr="00282C58" w:rsidRDefault="006178CF" w:rsidP="006178CF">
      <w:pPr>
        <w:numPr>
          <w:ilvl w:val="0"/>
          <w:numId w:val="21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2C58">
        <w:rPr>
          <w:rFonts w:ascii="Arial" w:eastAsia="Times New Roman" w:hAnsi="Arial" w:cs="Arial"/>
          <w:sz w:val="18"/>
          <w:szCs w:val="18"/>
          <w:lang w:eastAsia="pl-PL"/>
        </w:rPr>
        <w:t xml:space="preserve">Urząd dokonuje weryfikacji zasadności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sfinansowania 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kosztów potwierdzenia nabycia wiedzy i umiejętności lub uzyskania dokumentu potwierdzającego nabycie wiedzy i umiejętności </w:t>
      </w:r>
      <w:r w:rsidRPr="00282C58"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uwzględnieniem analizy rynku, porównania ofert oraz zasad racjonalnego gospodarowania środkami publicznymi.</w:t>
      </w:r>
    </w:p>
    <w:p w14:paraId="0B766940" w14:textId="77777777" w:rsidR="006178CF" w:rsidRPr="005C1444" w:rsidRDefault="006178CF" w:rsidP="006178CF">
      <w:pPr>
        <w:numPr>
          <w:ilvl w:val="0"/>
          <w:numId w:val="21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51C3">
        <w:rPr>
          <w:rFonts w:ascii="Arial" w:eastAsia="Times New Roman" w:hAnsi="Arial" w:cs="Arial"/>
          <w:sz w:val="18"/>
          <w:szCs w:val="18"/>
          <w:lang w:eastAsia="pl-PL"/>
        </w:rPr>
        <w:t xml:space="preserve">Przedsiębiorcy w rozumieniu przepisów o pomocy publicznej (w tym osoby prowadzące działalność gospodarczą, posiadające zawieszoną działalność gospodarczą, prowadzące działalność rolniczą lub działalność w zakresie rybołówstwa) zobowiązani są do złożenia wraz z wnioskiem formularza informacji przedstawianych przy ubieganiu się o pomoc de </w:t>
      </w:r>
      <w:proofErr w:type="spellStart"/>
      <w:r w:rsidRPr="001D51C3">
        <w:rPr>
          <w:rFonts w:ascii="Arial" w:eastAsia="Times New Roman" w:hAnsi="Arial" w:cs="Arial"/>
          <w:sz w:val="18"/>
          <w:szCs w:val="18"/>
          <w:lang w:eastAsia="pl-PL"/>
        </w:rPr>
        <w:t>minimis</w:t>
      </w:r>
      <w:proofErr w:type="spellEnd"/>
      <w:r w:rsidRPr="001D51C3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stosownych oświadczeń lub zaświadczeń o otrzymanej pomocy.</w:t>
      </w:r>
    </w:p>
    <w:p w14:paraId="58B07412" w14:textId="77777777" w:rsidR="006178CF" w:rsidRPr="00774714" w:rsidRDefault="006178CF" w:rsidP="006178C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W przypadku pozytywnego rozpatrzenia wniosku, </w:t>
      </w:r>
      <w:r>
        <w:rPr>
          <w:rFonts w:ascii="Arial" w:eastAsia="Times New Roman" w:hAnsi="Arial" w:cs="Arial"/>
          <w:sz w:val="18"/>
          <w:szCs w:val="18"/>
          <w:lang w:eastAsia="pl-PL"/>
        </w:rPr>
        <w:t>Urząd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zawiera z osobą uprawnioną </w:t>
      </w:r>
      <w:r w:rsidRPr="003166E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umowę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 xml:space="preserve"> sfinansowanie kosztów potwierdzenia nabycia wiedzy i umiejętności lub uzyskania dokumentu potwierdzającego nabycie wiedzy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5120E9">
        <w:rPr>
          <w:rFonts w:ascii="Arial" w:eastAsia="Times New Roman" w:hAnsi="Arial" w:cs="Arial"/>
          <w:sz w:val="18"/>
          <w:szCs w:val="18"/>
          <w:lang w:eastAsia="pl-PL"/>
        </w:rPr>
        <w:t>i umiejętności.</w:t>
      </w:r>
    </w:p>
    <w:p w14:paraId="0461BCBF" w14:textId="77777777" w:rsidR="006178CF" w:rsidRPr="005120E9" w:rsidRDefault="006178CF" w:rsidP="006178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Płatności i limity kosztów</w:t>
      </w:r>
    </w:p>
    <w:p w14:paraId="34929593" w14:textId="77777777" w:rsidR="006178CF" w:rsidRPr="002E1A76" w:rsidRDefault="006178CF" w:rsidP="006178CF">
      <w:pPr>
        <w:numPr>
          <w:ilvl w:val="0"/>
          <w:numId w:val="21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6024">
        <w:rPr>
          <w:rFonts w:ascii="Arial" w:hAnsi="Arial" w:cs="Arial"/>
          <w:iCs/>
          <w:sz w:val="18"/>
          <w:szCs w:val="18"/>
        </w:rPr>
        <w:t xml:space="preserve">Płatność za przeprowadzenie procesu nabycia wiedzy i umiejętności lub wydanie dokumentu potwierdzającego </w:t>
      </w:r>
      <w:r w:rsidRPr="002E1A76">
        <w:rPr>
          <w:rFonts w:ascii="Arial" w:eastAsia="Times New Roman" w:hAnsi="Arial" w:cs="Arial"/>
          <w:sz w:val="18"/>
          <w:szCs w:val="18"/>
          <w:lang w:eastAsia="pl-PL"/>
        </w:rPr>
        <w:t>nabycie wiedzy i umiejętności dokonywana jest na rachunek płatniczy realizatora działań.</w:t>
      </w:r>
    </w:p>
    <w:p w14:paraId="4A0426F3" w14:textId="7F81A840" w:rsidR="006178CF" w:rsidRDefault="006178CF" w:rsidP="006178CF">
      <w:pPr>
        <w:numPr>
          <w:ilvl w:val="0"/>
          <w:numId w:val="21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1A76">
        <w:rPr>
          <w:rFonts w:ascii="Arial" w:eastAsia="Times New Roman" w:hAnsi="Arial" w:cs="Arial"/>
          <w:sz w:val="18"/>
          <w:szCs w:val="18"/>
          <w:lang w:eastAsia="pl-PL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</w:t>
      </w:r>
      <w:r w:rsidR="00471BFF">
        <w:rPr>
          <w:rFonts w:ascii="Arial" w:eastAsia="Times New Roman" w:hAnsi="Arial" w:cs="Arial"/>
          <w:sz w:val="18"/>
          <w:szCs w:val="18"/>
          <w:lang w:eastAsia="pl-PL"/>
        </w:rPr>
        <w:t xml:space="preserve"> ustawy</w:t>
      </w:r>
      <w:r w:rsidRPr="002E1A76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2E1A7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nie mogą przekroczyć 450% </w:t>
      </w:r>
      <w:r w:rsidRPr="002E1A76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przeciętnego wynagrodzenia</w:t>
      </w:r>
      <w:r w:rsidRPr="002E1A76">
        <w:rPr>
          <w:rFonts w:ascii="Arial" w:eastAsia="Times New Roman" w:hAnsi="Arial" w:cs="Arial"/>
          <w:sz w:val="18"/>
          <w:szCs w:val="18"/>
          <w:lang w:eastAsia="pl-PL"/>
        </w:rPr>
        <w:t xml:space="preserve"> na jedną osobę w okresie kolejnych 3 lat.</w:t>
      </w:r>
      <w:bookmarkStart w:id="3" w:name="_Hlk223953482"/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E1A76">
        <w:rPr>
          <w:rFonts w:ascii="Arial" w:eastAsia="Times New Roman" w:hAnsi="Arial" w:cs="Arial"/>
          <w:sz w:val="18"/>
          <w:szCs w:val="18"/>
          <w:lang w:eastAsia="pl-PL"/>
        </w:rPr>
        <w:t>Do limitu nie wlicza się kwoty pożyczki edukacyjnej.</w:t>
      </w:r>
    </w:p>
    <w:p w14:paraId="6E3D62D4" w14:textId="38F8713F" w:rsidR="006178CF" w:rsidRPr="000D1278" w:rsidRDefault="006178CF" w:rsidP="000D1278">
      <w:pPr>
        <w:numPr>
          <w:ilvl w:val="0"/>
          <w:numId w:val="21"/>
        </w:numPr>
        <w:spacing w:after="0" w:line="220" w:lineRule="exact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Osob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ie,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której finansowana jest pomoc w nabywaniu wiedzy i umiejętności 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przysługuje ubezpieczenie od następstw nieszczęśliwych wypadków powstałych w związku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potwierdzeniem nabycia wiedzy i umiejętności 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oraz w drodze do miejsca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potwierdzenia nabycia wiedzy i umiejętności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i z powrotem.</w:t>
      </w:r>
      <w:bookmarkEnd w:id="3"/>
    </w:p>
    <w:p w14:paraId="29B75519" w14:textId="69A807BA" w:rsidR="006178CF" w:rsidRPr="005120E9" w:rsidRDefault="006178CF" w:rsidP="006178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20E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Zwrot kosztów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utrata statusu</w:t>
      </w:r>
    </w:p>
    <w:p w14:paraId="794858E0" w14:textId="77777777" w:rsidR="006178CF" w:rsidRDefault="006178CF" w:rsidP="006178CF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61234">
        <w:rPr>
          <w:rFonts w:ascii="Arial" w:eastAsia="Times New Roman" w:hAnsi="Arial" w:cs="Arial"/>
          <w:sz w:val="18"/>
          <w:szCs w:val="18"/>
          <w:lang w:eastAsia="pl-PL"/>
        </w:rPr>
        <w:t xml:space="preserve">Osoba, która z własnej winy nie przystąpiła do procesu potwierdzenia nabycia wiedzy i umiejętności lub uzyskania dokumentu potwierdzającego nabycie wiedzy i umiejętności, zwraca na wyodrębniony rachunek bankowy </w:t>
      </w:r>
      <w:r>
        <w:rPr>
          <w:rFonts w:ascii="Arial" w:eastAsia="Times New Roman" w:hAnsi="Arial" w:cs="Arial"/>
          <w:sz w:val="18"/>
          <w:szCs w:val="18"/>
          <w:lang w:eastAsia="pl-PL"/>
        </w:rPr>
        <w:t>Powiatowego Urzędu Pracy w Zgorzelcu</w:t>
      </w:r>
      <w:r w:rsidRPr="00161234">
        <w:rPr>
          <w:rFonts w:ascii="Arial" w:eastAsia="Times New Roman" w:hAnsi="Arial" w:cs="Arial"/>
          <w:sz w:val="18"/>
          <w:szCs w:val="18"/>
          <w:lang w:eastAsia="pl-PL"/>
        </w:rPr>
        <w:t xml:space="preserve"> albo samorządu powiatu sfinansowane z Funduszu Pracy koszty należne instytucji potwierdzającej nabycie wiedzy i umiejętności, instytucji wydającej dokumenty potwierdzające nabycie wiedzy i umiejętności. </w:t>
      </w:r>
      <w:r w:rsidRPr="003166EC">
        <w:rPr>
          <w:rFonts w:ascii="Arial" w:eastAsia="Times New Roman" w:hAnsi="Arial" w:cs="Arial"/>
          <w:sz w:val="18"/>
          <w:szCs w:val="18"/>
          <w:lang w:eastAsia="pl-PL"/>
        </w:rPr>
        <w:t xml:space="preserve">Przepisu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tego </w:t>
      </w:r>
      <w:r w:rsidRPr="003166EC">
        <w:rPr>
          <w:rFonts w:ascii="Arial" w:eastAsia="Times New Roman" w:hAnsi="Arial" w:cs="Arial"/>
          <w:sz w:val="18"/>
          <w:szCs w:val="18"/>
          <w:lang w:eastAsia="pl-PL"/>
        </w:rPr>
        <w:t>nie stosuje się w przypadku, gdy przyczyną niezrealizowania działań było podjęcie zatrudnienia, innej pracy zarobkowej lub prowadzenie działalności gospodarczej przez okres co najmniej miesiąca. Zwrot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owi podlegają również koszty </w:t>
      </w:r>
      <w:r w:rsidRPr="003166EC">
        <w:rPr>
          <w:rFonts w:ascii="Arial" w:eastAsia="Times New Roman" w:hAnsi="Arial" w:cs="Arial"/>
          <w:sz w:val="18"/>
          <w:szCs w:val="18"/>
          <w:lang w:eastAsia="pl-PL"/>
        </w:rPr>
        <w:t>badań lekarskich lub psychologicznych, ubezpieczenia, przejazdu i zakwaterowania, o ile zostały poniesione.</w:t>
      </w:r>
    </w:p>
    <w:p w14:paraId="67867D70" w14:textId="77777777" w:rsidR="006178CF" w:rsidRPr="003166EC" w:rsidRDefault="006178CF" w:rsidP="006178CF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Koszty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te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podlegają zwrotowi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również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w przypadku, gdy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udzielenie formy pomocy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nastąpiło na podstawie nieprawdziwych oświadczeń lub sfałszowanych dokumentów albo w innych przypadkach świadomego wprowadzenia w błąd Urzędu przez osobę </w:t>
      </w:r>
      <w:r>
        <w:rPr>
          <w:rFonts w:ascii="Arial" w:hAnsi="Arial" w:cs="Arial"/>
          <w:sz w:val="18"/>
          <w:szCs w:val="18"/>
          <w14:ligatures w14:val="standardContextual"/>
        </w:rPr>
        <w:t>korzystającą z pomocy.</w:t>
      </w:r>
    </w:p>
    <w:p w14:paraId="2D871977" w14:textId="77777777" w:rsidR="006178CF" w:rsidRPr="00AC0F85" w:rsidRDefault="006178CF" w:rsidP="006178CF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Przerwanie z własnej winy lub niepodjęcie </w:t>
      </w:r>
      <w:r>
        <w:rPr>
          <w:rFonts w:ascii="Arial" w:hAnsi="Arial" w:cs="Arial"/>
          <w:sz w:val="18"/>
          <w:szCs w:val="18"/>
          <w14:ligatures w14:val="standardContextual"/>
        </w:rPr>
        <w:t>formy pomocy po zawarciu umowy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>, skutkuje pozbawieniem statusu bezrobotnego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>/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poszukującej pracy odpowiednio od dnia następnego po dniu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zawarcia umowy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albo od dnia przerwania </w:t>
      </w:r>
      <w:r>
        <w:rPr>
          <w:rFonts w:ascii="Arial" w:hAnsi="Arial" w:cs="Arial"/>
          <w:sz w:val="18"/>
          <w:szCs w:val="18"/>
          <w14:ligatures w14:val="standardContextual"/>
        </w:rPr>
        <w:t>realizacji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 na okres 90 dni, chyba że powodem 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niepodjęcia albo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przerwania było podjęcie zatrudnienia, innej pracy zarobkowej lub działalności gospodarczej. </w:t>
      </w:r>
    </w:p>
    <w:p w14:paraId="32E8B3A9" w14:textId="77777777" w:rsidR="006178CF" w:rsidRPr="00BD370E" w:rsidRDefault="006178CF" w:rsidP="006178C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Osoba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, któr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bez uzasadnionej przyczyny przerwał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realizację formy pomocy określonej w ustawie finansowaną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br/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 </w:t>
      </w:r>
    </w:p>
    <w:p w14:paraId="24413489" w14:textId="77777777" w:rsidR="006178CF" w:rsidRPr="003166EC" w:rsidRDefault="006178CF" w:rsidP="006178CF">
      <w:pPr>
        <w:pStyle w:val="Akapitzlist"/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8932F3" w14:textId="77777777" w:rsidR="006178CF" w:rsidRDefault="006178CF" w:rsidP="006178CF">
      <w:pPr>
        <w:spacing w:after="0" w:line="360" w:lineRule="auto"/>
        <w:jc w:val="both"/>
        <w:rPr>
          <w:rFonts w:ascii="Tahoma" w:eastAsia="Calibri" w:hAnsi="Tahoma" w:cs="Tahoma"/>
          <w:color w:val="2E74B5"/>
          <w:sz w:val="20"/>
          <w:szCs w:val="20"/>
        </w:rPr>
      </w:pPr>
    </w:p>
    <w:p w14:paraId="4E74838C" w14:textId="77777777" w:rsidR="006178CF" w:rsidRDefault="006178CF" w:rsidP="006178CF">
      <w:pPr>
        <w:tabs>
          <w:tab w:val="left" w:pos="567"/>
          <w:tab w:val="left" w:pos="7329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167EC3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Informacje dodatkowe:</w:t>
      </w:r>
    </w:p>
    <w:p w14:paraId="66E761A8" w14:textId="77777777" w:rsidR="006178CF" w:rsidRDefault="006178CF" w:rsidP="006178CF">
      <w:pPr>
        <w:tabs>
          <w:tab w:val="left" w:pos="567"/>
          <w:tab w:val="left" w:pos="7329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3650F107" w14:textId="77777777" w:rsidR="000D1278" w:rsidRPr="000D1278" w:rsidRDefault="006178CF" w:rsidP="006178CF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3182A">
        <w:rPr>
          <w:rFonts w:ascii="Arial" w:hAnsi="Arial" w:cs="Arial"/>
          <w:sz w:val="18"/>
          <w:szCs w:val="18"/>
          <w14:ligatures w14:val="standardContextual"/>
        </w:rPr>
        <w:t xml:space="preserve">Druk wniosku o finansowanie 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>koszt</w:t>
      </w:r>
      <w:r>
        <w:rPr>
          <w:rFonts w:ascii="Arial" w:eastAsia="Times New Roman" w:hAnsi="Arial" w:cs="Arial"/>
          <w:sz w:val="18"/>
          <w:szCs w:val="18"/>
          <w:lang w:eastAsia="pl-PL"/>
        </w:rPr>
        <w:t>ów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224651633"/>
      <w:r w:rsidRPr="001B57BD">
        <w:rPr>
          <w:rFonts w:ascii="Arial" w:eastAsia="Times New Roman" w:hAnsi="Arial" w:cs="Arial"/>
          <w:sz w:val="18"/>
          <w:szCs w:val="18"/>
          <w:lang w:eastAsia="pl-PL"/>
        </w:rPr>
        <w:t>potwierdzenia nabycia wiedzy i umiejętności lub uzyskania dokumentu potwierdzającego nabycie wiedzy i umiejętności</w:t>
      </w:r>
      <w:bookmarkEnd w:id="4"/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3182A">
        <w:rPr>
          <w:rFonts w:ascii="Arial" w:hAnsi="Arial" w:cs="Arial"/>
          <w:sz w:val="18"/>
          <w:szCs w:val="18"/>
          <w14:ligatures w14:val="standardContextual"/>
        </w:rPr>
        <w:t>można pobrać u doradcy do spraw zatrudnienia, specjalisty ds. rozwoju zawodowego (pokój 210 - II piętro) w Powiatowym Urzędzie Pracy w Zgorzelcu, ul. Pułaskiego 14 lub ze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43182A">
        <w:rPr>
          <w:rFonts w:ascii="Arial" w:hAnsi="Arial" w:cs="Arial"/>
          <w:sz w:val="18"/>
          <w:szCs w:val="18"/>
          <w14:ligatures w14:val="standardContextual"/>
        </w:rPr>
        <w:t xml:space="preserve">strony internetowej: </w:t>
      </w:r>
      <w:hyperlink r:id="rId7" w:history="1">
        <w:r w:rsidRPr="00FA3B3F">
          <w:rPr>
            <w:rStyle w:val="Hipercze"/>
            <w14:ligatures w14:val="standardContextual"/>
          </w:rPr>
          <w:t>https://zgorzelec.praca.gov.pl</w:t>
        </w:r>
      </w:hyperlink>
      <w:r>
        <w:rPr>
          <w14:ligatures w14:val="standardContextual"/>
        </w:rPr>
        <w:t xml:space="preserve"> </w:t>
      </w:r>
    </w:p>
    <w:p w14:paraId="559A5507" w14:textId="26EB732D" w:rsidR="006178CF" w:rsidRPr="00520DB6" w:rsidRDefault="000D1278" w:rsidP="006178CF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iCs/>
          <w:sz w:val="18"/>
          <w:szCs w:val="18"/>
          <w:lang w:eastAsia="pl-PL"/>
        </w:rPr>
        <w:t>Osoba ubiegająca się o sfinansowanie kosztów</w:t>
      </w:r>
      <w:r w:rsidR="006178CF" w:rsidRPr="00520DB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Pr="00520DB6">
        <w:rPr>
          <w:rFonts w:ascii="Arial" w:eastAsia="Times New Roman" w:hAnsi="Arial" w:cs="Arial"/>
          <w:sz w:val="18"/>
          <w:szCs w:val="18"/>
          <w:lang w:eastAsia="pl-PL"/>
        </w:rPr>
        <w:t>potwierdzenia nabycia wiedzy i umiejętności lub uzyskania dokumentu potwierdzającego nabycie wiedzy i umiejętności składa kompletny wniosek na aktualnym druku Urzędu w formie papierowej w siedzibie Urzędu lub elektronicznie poprzez:</w:t>
      </w:r>
    </w:p>
    <w:p w14:paraId="069847DE" w14:textId="6DA83582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C83DF5" w:rsidRPr="00520DB6">
        <w:rPr>
          <w:rFonts w:ascii="Arial" w:eastAsia="Times New Roman" w:hAnsi="Arial" w:cs="Arial"/>
          <w:sz w:val="18"/>
          <w:szCs w:val="18"/>
          <w:lang w:eastAsia="pl-PL"/>
        </w:rPr>
        <w:t xml:space="preserve">platformę </w:t>
      </w:r>
      <w:r w:rsidRPr="00520DB6">
        <w:rPr>
          <w:rFonts w:ascii="Arial" w:eastAsia="Times New Roman" w:hAnsi="Arial" w:cs="Arial"/>
          <w:sz w:val="18"/>
          <w:szCs w:val="18"/>
          <w:lang w:eastAsia="pl-PL"/>
        </w:rPr>
        <w:t>praca.gov.pl</w:t>
      </w:r>
    </w:p>
    <w:p w14:paraId="6DBD7053" w14:textId="6919A37A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="00C83DF5" w:rsidRPr="00520DB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20DB6">
        <w:rPr>
          <w:rFonts w:ascii="Arial" w:eastAsia="Times New Roman" w:hAnsi="Arial" w:cs="Arial"/>
          <w:sz w:val="18"/>
          <w:szCs w:val="18"/>
          <w:lang w:eastAsia="pl-PL"/>
        </w:rPr>
        <w:t>e-Doręczenia</w:t>
      </w:r>
    </w:p>
    <w:p w14:paraId="167B42B0" w14:textId="02FEBD86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Wnioski składane w formie elektronicznej muszą być opatrzone:</w:t>
      </w:r>
    </w:p>
    <w:p w14:paraId="41F4C02E" w14:textId="72775DE3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- kwalifikowanym podpisem elektronicznym lub,</w:t>
      </w:r>
    </w:p>
    <w:p w14:paraId="58F76213" w14:textId="23889C60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- podpisem zaufanym lub</w:t>
      </w:r>
    </w:p>
    <w:p w14:paraId="22CB5885" w14:textId="01FACFB8" w:rsidR="000D1278" w:rsidRPr="00520DB6" w:rsidRDefault="000D1278" w:rsidP="000D1278">
      <w:pPr>
        <w:spacing w:after="0" w:line="220" w:lineRule="exact"/>
        <w:ind w:left="71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0DB6">
        <w:rPr>
          <w:rFonts w:ascii="Arial" w:eastAsia="Times New Roman" w:hAnsi="Arial" w:cs="Arial"/>
          <w:sz w:val="18"/>
          <w:szCs w:val="18"/>
          <w:lang w:eastAsia="pl-PL"/>
        </w:rPr>
        <w:t>- podpisem osobistym</w:t>
      </w:r>
      <w:r w:rsidR="00520DB6" w:rsidRPr="00520DB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5" w:name="_Hlk224711867"/>
      <w:r w:rsidR="00520DB6" w:rsidRPr="00520DB6">
        <w:rPr>
          <w:rFonts w:ascii="Arial" w:eastAsia="Times New Roman" w:hAnsi="Arial" w:cs="Arial"/>
          <w:sz w:val="18"/>
          <w:szCs w:val="18"/>
          <w:lang w:eastAsia="pl-PL"/>
        </w:rPr>
        <w:t>z wykorzystaniem dowodu osobistego z warstwą elektroniczną i czytnika NFC.</w:t>
      </w:r>
      <w:bookmarkEnd w:id="5"/>
    </w:p>
    <w:p w14:paraId="1CBCD612" w14:textId="6FC4293A" w:rsidR="006178CF" w:rsidRPr="0043182A" w:rsidRDefault="006178CF" w:rsidP="006178CF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43182A">
        <w:rPr>
          <w:rFonts w:ascii="Arial" w:hAnsi="Arial" w:cs="Arial"/>
          <w:sz w:val="18"/>
          <w:szCs w:val="18"/>
          <w14:ligatures w14:val="standardContextual"/>
        </w:rPr>
        <w:t xml:space="preserve">Informacje dodatkowe udzielane są u specjalisty ds. rozwoju zawodowego (pokój 210 - II piętro) oraz pod numerem telefonu 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75 77 70</w:t>
      </w:r>
      <w:r w:rsidR="00071636">
        <w:rPr>
          <w:rFonts w:ascii="Arial" w:hAnsi="Arial" w:cs="Arial"/>
          <w:b/>
          <w:bCs/>
          <w:sz w:val="18"/>
          <w:szCs w:val="18"/>
          <w14:ligatures w14:val="standardContextual"/>
        </w:rPr>
        <w:t> 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550</w:t>
      </w:r>
      <w:r w:rsidR="00071636">
        <w:rPr>
          <w:rFonts w:ascii="Arial" w:hAnsi="Arial" w:cs="Arial"/>
          <w:b/>
          <w:bCs/>
          <w:sz w:val="18"/>
          <w:szCs w:val="18"/>
          <w14:ligatures w14:val="standardContextual"/>
        </w:rPr>
        <w:t>, 75 77 70 553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.</w:t>
      </w:r>
    </w:p>
    <w:p w14:paraId="136D32EE" w14:textId="77777777" w:rsidR="006178CF" w:rsidRPr="00C666E7" w:rsidRDefault="006178CF" w:rsidP="006178CF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 xml:space="preserve">Dokument niniejszy stanowi ogólne zasady postępowania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stosowane przy udzielaniu pomocy związanej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finansowan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iem 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>koszt</w:t>
      </w:r>
      <w:r>
        <w:rPr>
          <w:rFonts w:ascii="Arial" w:eastAsia="Times New Roman" w:hAnsi="Arial" w:cs="Arial"/>
          <w:sz w:val="18"/>
          <w:szCs w:val="18"/>
          <w:lang w:eastAsia="pl-PL"/>
        </w:rPr>
        <w:t>ów</w:t>
      </w:r>
      <w:r w:rsidRPr="001B57BD">
        <w:rPr>
          <w:rFonts w:ascii="Arial" w:eastAsia="Times New Roman" w:hAnsi="Arial" w:cs="Arial"/>
          <w:sz w:val="18"/>
          <w:szCs w:val="18"/>
          <w:lang w:eastAsia="pl-PL"/>
        </w:rPr>
        <w:t xml:space="preserve"> potwierdzenia nabycia wiedzy i umiejętności lub uzyskania dokumentu potwierdzającego nabycie wiedzy i umiejętności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ze środków publicznych i podlega stosowaniu z uwzględnieniem aktualnych przepisów prawa oraz wytycznych instytucji kontrolnych.</w:t>
      </w:r>
    </w:p>
    <w:p w14:paraId="5F478563" w14:textId="77777777" w:rsidR="006178CF" w:rsidRPr="0043182A" w:rsidRDefault="006178CF" w:rsidP="006178CF">
      <w:pPr>
        <w:tabs>
          <w:tab w:val="left" w:pos="8252"/>
        </w:tabs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5D51841" w14:textId="77777777" w:rsidR="006178CF" w:rsidRDefault="006178CF" w:rsidP="006178CF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B106807" w14:textId="77777777" w:rsidR="006178CF" w:rsidRDefault="006178CF" w:rsidP="006178CF">
      <w:pPr>
        <w:spacing w:after="0" w:line="360" w:lineRule="auto"/>
        <w:jc w:val="both"/>
        <w:rPr>
          <w:rFonts w:ascii="Tahoma" w:eastAsia="Calibri" w:hAnsi="Tahoma" w:cs="Tahoma"/>
          <w:color w:val="2E74B5"/>
          <w:sz w:val="20"/>
          <w:szCs w:val="20"/>
        </w:rPr>
      </w:pPr>
    </w:p>
    <w:p w14:paraId="6F73BC64" w14:textId="77777777" w:rsidR="006178CF" w:rsidRDefault="006178CF" w:rsidP="006178CF">
      <w:pPr>
        <w:spacing w:after="0" w:line="360" w:lineRule="auto"/>
        <w:jc w:val="both"/>
        <w:rPr>
          <w:rFonts w:ascii="Tahoma" w:eastAsia="Calibri" w:hAnsi="Tahoma" w:cs="Tahoma"/>
          <w:color w:val="2E74B5"/>
          <w:sz w:val="20"/>
          <w:szCs w:val="20"/>
        </w:rPr>
      </w:pPr>
    </w:p>
    <w:p w14:paraId="460F3F3D" w14:textId="77777777" w:rsidR="006178CF" w:rsidRDefault="006178CF" w:rsidP="006178CF">
      <w:pPr>
        <w:spacing w:after="0" w:line="360" w:lineRule="auto"/>
        <w:jc w:val="both"/>
        <w:rPr>
          <w:rFonts w:ascii="Tahoma" w:eastAsia="Calibri" w:hAnsi="Tahoma" w:cs="Tahoma"/>
          <w:color w:val="2E74B5"/>
          <w:sz w:val="20"/>
          <w:szCs w:val="20"/>
        </w:rPr>
      </w:pPr>
    </w:p>
    <w:bookmarkEnd w:id="0"/>
    <w:p w14:paraId="51F9EB30" w14:textId="77777777" w:rsidR="006178CF" w:rsidRPr="008C5220" w:rsidRDefault="006178CF" w:rsidP="006178CF">
      <w:pPr>
        <w:tabs>
          <w:tab w:val="left" w:pos="-142"/>
          <w:tab w:val="left" w:pos="7230"/>
        </w:tabs>
        <w:spacing w:after="0"/>
        <w:rPr>
          <w:rFonts w:ascii="Arial" w:hAnsi="Arial" w:cs="Arial"/>
          <w:sz w:val="18"/>
          <w:szCs w:val="18"/>
        </w:rPr>
      </w:pPr>
    </w:p>
    <w:p w14:paraId="5C940AE8" w14:textId="77777777" w:rsidR="00D714D1" w:rsidRDefault="00D714D1" w:rsidP="00D714D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D714D1" w:rsidSect="008A3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135" w:left="1021" w:header="1020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FCB1" w14:textId="77777777" w:rsidR="00FD6556" w:rsidRDefault="00FD6556" w:rsidP="00785274">
      <w:pPr>
        <w:spacing w:after="0" w:line="240" w:lineRule="auto"/>
      </w:pPr>
      <w:r>
        <w:separator/>
      </w:r>
    </w:p>
  </w:endnote>
  <w:endnote w:type="continuationSeparator" w:id="0">
    <w:p w14:paraId="11DC80E9" w14:textId="77777777" w:rsidR="00FD6556" w:rsidRDefault="00FD6556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961C" w14:textId="77777777" w:rsidR="005131C4" w:rsidRDefault="00513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1245" w14:textId="77777777" w:rsidR="00A9082A" w:rsidRPr="00A9082A" w:rsidRDefault="00A9082A" w:rsidP="00A9082A">
    <w:pPr>
      <w:pStyle w:val="Stopka"/>
      <w:rPr>
        <w:rFonts w:ascii="Arial" w:hAnsi="Arial" w:cs="Arial"/>
        <w:sz w:val="14"/>
        <w:szCs w:val="14"/>
      </w:rPr>
    </w:pPr>
    <w:r w:rsidRPr="00A9082A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22F11C9" w14:textId="5CD5B6A2" w:rsidR="00C45076" w:rsidRPr="00A9082A" w:rsidRDefault="00A9082A" w:rsidP="00A9082A">
    <w:pPr>
      <w:pStyle w:val="Stopka"/>
    </w:pPr>
    <w:r w:rsidRPr="00A9082A"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AEA" w14:textId="6940C21B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6" w:name="_Hlk219706726"/>
    <w:bookmarkStart w:id="7" w:name="_Hlk219706727"/>
    <w:bookmarkStart w:id="8" w:name="_Hlk219706728"/>
    <w:bookmarkStart w:id="9" w:name="_Hlk219706729"/>
    <w:bookmarkStart w:id="10" w:name="_Hlk219706730"/>
    <w:bookmarkStart w:id="11" w:name="_Hlk219706731"/>
    <w:bookmarkStart w:id="12" w:name="_Hlk219706732"/>
    <w:bookmarkStart w:id="13" w:name="_Hlk219706733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</w:t>
    </w:r>
    <w:r w:rsidR="005131C4">
      <w:rPr>
        <w:rFonts w:ascii="Arial" w:hAnsi="Arial" w:cs="Arial"/>
        <w:sz w:val="14"/>
        <w:szCs w:val="14"/>
      </w:rPr>
      <w:t>s</w:t>
    </w:r>
    <w:r w:rsidRPr="00C45076">
      <w:rPr>
        <w:rFonts w:ascii="Arial" w:hAnsi="Arial" w:cs="Arial"/>
        <w:sz w:val="14"/>
        <w:szCs w:val="14"/>
      </w:rPr>
      <w:t>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93E46FD" w14:textId="77777777" w:rsidR="005131C4" w:rsidRDefault="005131C4" w:rsidP="00164DBF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5131C4">
      <w:rPr>
        <w:rFonts w:ascii="Arial" w:hAnsi="Arial" w:cs="Arial"/>
        <w:sz w:val="14"/>
        <w:szCs w:val="14"/>
      </w:rPr>
      <w:t xml:space="preserve">Elektroniczna Skrzynka Podawcza - www.praca.gov.pl. </w:t>
    </w:r>
    <w:r w:rsidR="008A3E69" w:rsidRPr="008A3E69">
      <w:rPr>
        <w:rFonts w:ascii="Arial" w:hAnsi="Arial" w:cs="Arial"/>
        <w:sz w:val="14"/>
        <w:szCs w:val="14"/>
      </w:rPr>
      <w:t>Adres do e-Doręczeń AE:PL-80270-63804-STHSU-27</w:t>
    </w:r>
    <w:r w:rsidR="008A3E69">
      <w:rPr>
        <w:rFonts w:ascii="Arial" w:hAnsi="Arial" w:cs="Arial"/>
        <w:sz w:val="14"/>
        <w:szCs w:val="14"/>
      </w:rPr>
      <w:t xml:space="preserve">; </w:t>
    </w:r>
  </w:p>
  <w:p w14:paraId="19E56CC9" w14:textId="545D4574" w:rsidR="008C5220" w:rsidRDefault="008C5220" w:rsidP="00164DBF">
    <w:pPr>
      <w:pStyle w:val="Stopka"/>
      <w:spacing w:line="180" w:lineRule="exact"/>
      <w:jc w:val="both"/>
    </w:pP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6044" w14:textId="77777777" w:rsidR="00FD6556" w:rsidRDefault="00FD6556" w:rsidP="00785274">
      <w:pPr>
        <w:spacing w:after="0" w:line="240" w:lineRule="auto"/>
      </w:pPr>
      <w:r>
        <w:separator/>
      </w:r>
    </w:p>
  </w:footnote>
  <w:footnote w:type="continuationSeparator" w:id="0">
    <w:p w14:paraId="09B678A8" w14:textId="77777777" w:rsidR="00FD6556" w:rsidRDefault="00FD6556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F3E" w14:textId="77777777" w:rsidR="005131C4" w:rsidRDefault="00513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F67E" w14:textId="77777777" w:rsidR="005131C4" w:rsidRDefault="00513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8882" w14:textId="22C2B538" w:rsidR="00D13BFB" w:rsidRDefault="004317FB" w:rsidP="00D13BFB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5A767327" wp14:editId="0D2C8F44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008541381" name="Obraz 100854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180CCFE" wp14:editId="4544E2F9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787119449" name="Obraz 78711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412B7E">
      <w:rPr>
        <w:rFonts w:ascii="Calibri" w:eastAsia="Times New Roman" w:hAnsi="Calibri" w:cs="Calibri"/>
        <w:noProof/>
        <w:kern w:val="1"/>
        <w:lang w:eastAsia="ar-SA"/>
      </w:rPr>
      <w:drawing>
        <wp:anchor distT="0" distB="0" distL="114300" distR="114300" simplePos="0" relativeHeight="251666432" behindDoc="1" locked="0" layoutInCell="1" allowOverlap="1" wp14:anchorId="6B561490" wp14:editId="605FBE23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1525515226" name="Obraz 152551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noProof/>
      </w:rPr>
      <w:drawing>
        <wp:anchor distT="0" distB="0" distL="114300" distR="114300" simplePos="0" relativeHeight="251665408" behindDoc="0" locked="0" layoutInCell="1" allowOverlap="1" wp14:anchorId="540E3F39" wp14:editId="419C46DF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278828320" name="Obraz 278828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rFonts w:ascii="Arial" w:hAnsi="Arial" w:cs="Arial"/>
      </w:rPr>
      <w:t xml:space="preserve">Powiatowy Urząd Pracy </w:t>
    </w:r>
  </w:p>
  <w:p w14:paraId="65FCC8C1" w14:textId="77777777" w:rsidR="00D13BFB" w:rsidRDefault="00D13BFB" w:rsidP="00D13BFB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4EE3"/>
    <w:multiLevelType w:val="hybridMultilevel"/>
    <w:tmpl w:val="413C1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567D"/>
    <w:multiLevelType w:val="hybridMultilevel"/>
    <w:tmpl w:val="F2D2F1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0F85"/>
    <w:multiLevelType w:val="hybridMultilevel"/>
    <w:tmpl w:val="AA88C6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014D"/>
    <w:multiLevelType w:val="hybridMultilevel"/>
    <w:tmpl w:val="382C7E84"/>
    <w:lvl w:ilvl="0" w:tplc="62A0F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3D24"/>
    <w:multiLevelType w:val="hybridMultilevel"/>
    <w:tmpl w:val="1A8AA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B5A12"/>
    <w:multiLevelType w:val="hybridMultilevel"/>
    <w:tmpl w:val="FFFFFFFF"/>
    <w:lvl w:ilvl="0" w:tplc="62A0F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35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413422"/>
    <w:multiLevelType w:val="hybridMultilevel"/>
    <w:tmpl w:val="59103FBE"/>
    <w:lvl w:ilvl="0" w:tplc="041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355B100C"/>
    <w:multiLevelType w:val="hybridMultilevel"/>
    <w:tmpl w:val="A81CD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C4A79"/>
    <w:multiLevelType w:val="hybridMultilevel"/>
    <w:tmpl w:val="771CD9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144"/>
    <w:multiLevelType w:val="hybridMultilevel"/>
    <w:tmpl w:val="01C8A1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75A4B"/>
    <w:multiLevelType w:val="hybridMultilevel"/>
    <w:tmpl w:val="704C8C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B6DBC"/>
    <w:multiLevelType w:val="hybridMultilevel"/>
    <w:tmpl w:val="64D6F15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95CA7"/>
    <w:multiLevelType w:val="multilevel"/>
    <w:tmpl w:val="B1BE3A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151EB"/>
    <w:multiLevelType w:val="hybridMultilevel"/>
    <w:tmpl w:val="48AE8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745"/>
    <w:multiLevelType w:val="multilevel"/>
    <w:tmpl w:val="B1BE3A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2D1A"/>
    <w:multiLevelType w:val="multilevel"/>
    <w:tmpl w:val="D7F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975210"/>
    <w:multiLevelType w:val="hybridMultilevel"/>
    <w:tmpl w:val="02D06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24245"/>
    <w:multiLevelType w:val="hybridMultilevel"/>
    <w:tmpl w:val="1ADCED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02509"/>
    <w:multiLevelType w:val="hybridMultilevel"/>
    <w:tmpl w:val="1292E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D06B8"/>
    <w:multiLevelType w:val="hybridMultilevel"/>
    <w:tmpl w:val="BEA43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4C6B"/>
    <w:multiLevelType w:val="hybridMultilevel"/>
    <w:tmpl w:val="AC4EAF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5472"/>
    <w:multiLevelType w:val="hybridMultilevel"/>
    <w:tmpl w:val="BA5E5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60727"/>
    <w:multiLevelType w:val="multilevel"/>
    <w:tmpl w:val="7B7A89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C451A"/>
    <w:multiLevelType w:val="hybridMultilevel"/>
    <w:tmpl w:val="76BC8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773606">
    <w:abstractNumId w:val="7"/>
  </w:num>
  <w:num w:numId="2" w16cid:durableId="556433317">
    <w:abstractNumId w:val="11"/>
  </w:num>
  <w:num w:numId="3" w16cid:durableId="1921672703">
    <w:abstractNumId w:val="8"/>
  </w:num>
  <w:num w:numId="4" w16cid:durableId="1658336330">
    <w:abstractNumId w:val="9"/>
  </w:num>
  <w:num w:numId="5" w16cid:durableId="1289699227">
    <w:abstractNumId w:val="20"/>
  </w:num>
  <w:num w:numId="6" w16cid:durableId="1895315511">
    <w:abstractNumId w:val="16"/>
  </w:num>
  <w:num w:numId="7" w16cid:durableId="88091035">
    <w:abstractNumId w:val="18"/>
  </w:num>
  <w:num w:numId="8" w16cid:durableId="2053844721">
    <w:abstractNumId w:val="0"/>
  </w:num>
  <w:num w:numId="9" w16cid:durableId="1973093731">
    <w:abstractNumId w:val="13"/>
  </w:num>
  <w:num w:numId="10" w16cid:durableId="1516068681">
    <w:abstractNumId w:val="22"/>
  </w:num>
  <w:num w:numId="11" w16cid:durableId="2125225836">
    <w:abstractNumId w:val="23"/>
  </w:num>
  <w:num w:numId="12" w16cid:durableId="2131312467">
    <w:abstractNumId w:val="1"/>
  </w:num>
  <w:num w:numId="13" w16cid:durableId="1703558286">
    <w:abstractNumId w:val="19"/>
  </w:num>
  <w:num w:numId="14" w16cid:durableId="1702245508">
    <w:abstractNumId w:val="5"/>
  </w:num>
  <w:num w:numId="15" w16cid:durableId="1085300861">
    <w:abstractNumId w:val="15"/>
  </w:num>
  <w:num w:numId="16" w16cid:durableId="68819090">
    <w:abstractNumId w:val="17"/>
  </w:num>
  <w:num w:numId="17" w16cid:durableId="1287079850">
    <w:abstractNumId w:val="3"/>
  </w:num>
  <w:num w:numId="18" w16cid:durableId="93090994">
    <w:abstractNumId w:val="4"/>
  </w:num>
  <w:num w:numId="19" w16cid:durableId="1104226679">
    <w:abstractNumId w:val="21"/>
  </w:num>
  <w:num w:numId="20" w16cid:durableId="1523399872">
    <w:abstractNumId w:val="14"/>
  </w:num>
  <w:num w:numId="21" w16cid:durableId="564728140">
    <w:abstractNumId w:val="12"/>
  </w:num>
  <w:num w:numId="22" w16cid:durableId="1865440075">
    <w:abstractNumId w:val="2"/>
  </w:num>
  <w:num w:numId="23" w16cid:durableId="433940188">
    <w:abstractNumId w:val="10"/>
  </w:num>
  <w:num w:numId="24" w16cid:durableId="67575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12906"/>
    <w:rsid w:val="000249F3"/>
    <w:rsid w:val="00052D31"/>
    <w:rsid w:val="00064B7C"/>
    <w:rsid w:val="00071636"/>
    <w:rsid w:val="00082E69"/>
    <w:rsid w:val="000A217B"/>
    <w:rsid w:val="000A6676"/>
    <w:rsid w:val="000D1278"/>
    <w:rsid w:val="000D4A5F"/>
    <w:rsid w:val="000F3291"/>
    <w:rsid w:val="000F4919"/>
    <w:rsid w:val="00110532"/>
    <w:rsid w:val="00164DBF"/>
    <w:rsid w:val="00181FBB"/>
    <w:rsid w:val="001A0396"/>
    <w:rsid w:val="001D51C3"/>
    <w:rsid w:val="00240FEC"/>
    <w:rsid w:val="00247F58"/>
    <w:rsid w:val="00280C7A"/>
    <w:rsid w:val="002D061A"/>
    <w:rsid w:val="002F599F"/>
    <w:rsid w:val="003138FC"/>
    <w:rsid w:val="00327193"/>
    <w:rsid w:val="003278E4"/>
    <w:rsid w:val="00350DB4"/>
    <w:rsid w:val="00361719"/>
    <w:rsid w:val="00402421"/>
    <w:rsid w:val="00405208"/>
    <w:rsid w:val="004317FB"/>
    <w:rsid w:val="00436390"/>
    <w:rsid w:val="004700D6"/>
    <w:rsid w:val="00471BFF"/>
    <w:rsid w:val="004B2E99"/>
    <w:rsid w:val="004C7535"/>
    <w:rsid w:val="005006F3"/>
    <w:rsid w:val="005131C4"/>
    <w:rsid w:val="00520DB6"/>
    <w:rsid w:val="00557B2E"/>
    <w:rsid w:val="005768EA"/>
    <w:rsid w:val="005A3433"/>
    <w:rsid w:val="005D58BA"/>
    <w:rsid w:val="005F6925"/>
    <w:rsid w:val="006036B3"/>
    <w:rsid w:val="00615C53"/>
    <w:rsid w:val="006178CF"/>
    <w:rsid w:val="006A0983"/>
    <w:rsid w:val="00701E12"/>
    <w:rsid w:val="0073409C"/>
    <w:rsid w:val="00744010"/>
    <w:rsid w:val="00745D6C"/>
    <w:rsid w:val="00761FEB"/>
    <w:rsid w:val="00785274"/>
    <w:rsid w:val="00791EE2"/>
    <w:rsid w:val="00792A7B"/>
    <w:rsid w:val="007E370B"/>
    <w:rsid w:val="007E5B61"/>
    <w:rsid w:val="00877E0E"/>
    <w:rsid w:val="008957B7"/>
    <w:rsid w:val="008A3E69"/>
    <w:rsid w:val="008C5220"/>
    <w:rsid w:val="008F5451"/>
    <w:rsid w:val="00900DAA"/>
    <w:rsid w:val="00916901"/>
    <w:rsid w:val="00926F33"/>
    <w:rsid w:val="00932849"/>
    <w:rsid w:val="009329CD"/>
    <w:rsid w:val="00933ECE"/>
    <w:rsid w:val="00977557"/>
    <w:rsid w:val="009B4C35"/>
    <w:rsid w:val="009E7252"/>
    <w:rsid w:val="00A02A09"/>
    <w:rsid w:val="00A21949"/>
    <w:rsid w:val="00A7714C"/>
    <w:rsid w:val="00A9082A"/>
    <w:rsid w:val="00A928CE"/>
    <w:rsid w:val="00AA44A3"/>
    <w:rsid w:val="00AC14A2"/>
    <w:rsid w:val="00B36F5C"/>
    <w:rsid w:val="00B50D24"/>
    <w:rsid w:val="00B67250"/>
    <w:rsid w:val="00B764D7"/>
    <w:rsid w:val="00C1351B"/>
    <w:rsid w:val="00C45076"/>
    <w:rsid w:val="00C83DF5"/>
    <w:rsid w:val="00CB2597"/>
    <w:rsid w:val="00CE50F3"/>
    <w:rsid w:val="00D13BFB"/>
    <w:rsid w:val="00D714D1"/>
    <w:rsid w:val="00D75F20"/>
    <w:rsid w:val="00DA5EE7"/>
    <w:rsid w:val="00DC6AD4"/>
    <w:rsid w:val="00DD56E3"/>
    <w:rsid w:val="00DE41B9"/>
    <w:rsid w:val="00E0023B"/>
    <w:rsid w:val="00E66A25"/>
    <w:rsid w:val="00ED7BF0"/>
    <w:rsid w:val="00F3336D"/>
    <w:rsid w:val="00FB5147"/>
    <w:rsid w:val="00FC3AB3"/>
    <w:rsid w:val="00FD1D72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E37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327193"/>
    <w:pPr>
      <w:ind w:left="720"/>
      <w:contextualSpacing/>
    </w:pPr>
  </w:style>
  <w:style w:type="character" w:customStyle="1" w:styleId="highlight">
    <w:name w:val="highlight"/>
    <w:basedOn w:val="Domylnaczcionkaakapitu"/>
    <w:rsid w:val="00FC3AB3"/>
  </w:style>
  <w:style w:type="character" w:styleId="Uwydatnienie">
    <w:name w:val="Emphasis"/>
    <w:basedOn w:val="Domylnaczcionkaakapitu"/>
    <w:uiPriority w:val="20"/>
    <w:qFormat/>
    <w:rsid w:val="00FC3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gorzelec.prac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27</cp:revision>
  <cp:lastPrinted>2026-03-19T12:09:00Z</cp:lastPrinted>
  <dcterms:created xsi:type="dcterms:W3CDTF">2026-01-29T08:27:00Z</dcterms:created>
  <dcterms:modified xsi:type="dcterms:W3CDTF">2026-03-19T12:10:00Z</dcterms:modified>
</cp:coreProperties>
</file>