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506259D" w14:textId="77777777" w:rsidR="008B02DB" w:rsidRDefault="00037408" w:rsidP="008B02DB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037408">
        <w:rPr>
          <w:rFonts w:ascii="Arial" w:hAnsi="Arial" w:cs="Arial"/>
          <w:b/>
          <w:sz w:val="18"/>
          <w:szCs w:val="18"/>
        </w:rPr>
        <w:t xml:space="preserve">ZGŁOSZENIE </w:t>
      </w:r>
      <w:r w:rsidR="008D0676">
        <w:rPr>
          <w:rFonts w:ascii="Arial" w:hAnsi="Arial" w:cs="Arial"/>
          <w:b/>
          <w:sz w:val="18"/>
          <w:szCs w:val="18"/>
        </w:rPr>
        <w:t>NAB</w:t>
      </w:r>
      <w:r w:rsidR="006918C5">
        <w:rPr>
          <w:rFonts w:ascii="Arial" w:hAnsi="Arial" w:cs="Arial"/>
          <w:b/>
          <w:sz w:val="18"/>
          <w:szCs w:val="18"/>
        </w:rPr>
        <w:t xml:space="preserve">YCIA </w:t>
      </w:r>
      <w:r w:rsidR="006019DD">
        <w:rPr>
          <w:rFonts w:ascii="Arial" w:hAnsi="Arial" w:cs="Arial"/>
          <w:b/>
          <w:sz w:val="18"/>
          <w:szCs w:val="18"/>
        </w:rPr>
        <w:t>STAŁE</w:t>
      </w:r>
      <w:r w:rsidR="006918C5">
        <w:rPr>
          <w:rFonts w:ascii="Arial" w:hAnsi="Arial" w:cs="Arial"/>
          <w:b/>
          <w:sz w:val="18"/>
          <w:szCs w:val="18"/>
        </w:rPr>
        <w:t>GO</w:t>
      </w:r>
      <w:r w:rsidR="006019DD">
        <w:rPr>
          <w:rFonts w:ascii="Arial" w:hAnsi="Arial" w:cs="Arial"/>
          <w:b/>
          <w:sz w:val="18"/>
          <w:szCs w:val="18"/>
        </w:rPr>
        <w:t xml:space="preserve"> ŻRÓDŁ</w:t>
      </w:r>
      <w:r w:rsidR="00A156D1">
        <w:rPr>
          <w:rFonts w:ascii="Arial" w:hAnsi="Arial" w:cs="Arial"/>
          <w:b/>
          <w:sz w:val="18"/>
          <w:szCs w:val="18"/>
        </w:rPr>
        <w:t>A</w:t>
      </w:r>
      <w:r w:rsidR="006019DD">
        <w:rPr>
          <w:rFonts w:ascii="Arial" w:hAnsi="Arial" w:cs="Arial"/>
          <w:b/>
          <w:sz w:val="18"/>
          <w:szCs w:val="18"/>
        </w:rPr>
        <w:t xml:space="preserve"> DOCHODU</w:t>
      </w:r>
      <w:r w:rsidR="00F32658">
        <w:rPr>
          <w:rFonts w:ascii="Arial" w:hAnsi="Arial" w:cs="Arial"/>
          <w:b/>
          <w:sz w:val="18"/>
          <w:szCs w:val="18"/>
        </w:rPr>
        <w:t xml:space="preserve"> </w:t>
      </w:r>
    </w:p>
    <w:p w14:paraId="1FA49FC5" w14:textId="77777777" w:rsidR="008B02DB" w:rsidRDefault="008B02DB" w:rsidP="008B02DB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</w:p>
    <w:p w14:paraId="581C00FE" w14:textId="47DDB63A" w:rsidR="006C222B" w:rsidRDefault="00A75EB7" w:rsidP="008B02DB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 xml:space="preserve">Oświadczam, że </w:t>
      </w:r>
      <w:r w:rsidR="00364594">
        <w:rPr>
          <w:rFonts w:ascii="Arial" w:hAnsi="Arial" w:cs="Arial"/>
          <w:sz w:val="18"/>
          <w:szCs w:val="18"/>
        </w:rPr>
        <w:t>od dnia</w:t>
      </w:r>
      <w:r w:rsidR="00542F1F">
        <w:rPr>
          <w:rFonts w:ascii="Arial" w:hAnsi="Arial" w:cs="Arial"/>
          <w:sz w:val="18"/>
          <w:szCs w:val="18"/>
        </w:rPr>
        <w:t xml:space="preserve"> </w:t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</w:t>
      </w:r>
      <w:r w:rsidR="008D0676">
        <w:rPr>
          <w:rFonts w:ascii="Arial" w:hAnsi="Arial" w:cs="Arial"/>
          <w:sz w:val="18"/>
          <w:szCs w:val="18"/>
        </w:rPr>
        <w:t xml:space="preserve">............ </w:t>
      </w:r>
      <w:r w:rsidR="001F7861">
        <w:rPr>
          <w:rFonts w:ascii="Arial" w:hAnsi="Arial" w:cs="Arial"/>
          <w:sz w:val="18"/>
          <w:szCs w:val="18"/>
        </w:rPr>
        <w:t>nabyłem/nabyłam prawo do</w:t>
      </w:r>
      <w:r w:rsidR="00364594">
        <w:rPr>
          <w:rFonts w:ascii="Arial" w:hAnsi="Arial" w:cs="Arial"/>
          <w:sz w:val="18"/>
          <w:szCs w:val="18"/>
        </w:rPr>
        <w:t xml:space="preserve"> stałego źródła dochodu</w:t>
      </w:r>
      <w:r w:rsidR="006019DD">
        <w:rPr>
          <w:rFonts w:ascii="Arial" w:hAnsi="Arial" w:cs="Arial"/>
          <w:sz w:val="18"/>
          <w:szCs w:val="18"/>
        </w:rPr>
        <w:t xml:space="preserve">: </w:t>
      </w:r>
      <w:r w:rsidR="00542F1F">
        <w:rPr>
          <w:rFonts w:ascii="Arial" w:hAnsi="Arial" w:cs="Arial"/>
          <w:sz w:val="18"/>
          <w:szCs w:val="18"/>
        </w:rPr>
        <w:t xml:space="preserve"> </w:t>
      </w:r>
    </w:p>
    <w:p w14:paraId="2B851B07" w14:textId="0C361A1B" w:rsidR="00A925B4" w:rsidRDefault="00A925B4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494B">
        <w:rPr>
          <w:rFonts w:ascii="Arial" w:hAnsi="Arial" w:cs="Arial"/>
          <w:sz w:val="18"/>
          <w:szCs w:val="18"/>
        </w:rPr>
        <w:t xml:space="preserve"> </w:t>
      </w:r>
      <w:r w:rsidR="008D0676">
        <w:rPr>
          <w:rFonts w:ascii="Arial" w:hAnsi="Arial" w:cs="Arial"/>
          <w:sz w:val="18"/>
          <w:szCs w:val="18"/>
        </w:rPr>
        <w:tab/>
      </w:r>
      <w:r w:rsidR="006E494B">
        <w:rPr>
          <w:rFonts w:ascii="Arial" w:hAnsi="Arial" w:cs="Arial"/>
          <w:sz w:val="18"/>
          <w:szCs w:val="18"/>
        </w:rPr>
        <w:t>Data (</w:t>
      </w:r>
      <w:proofErr w:type="spellStart"/>
      <w:r w:rsidR="006E494B">
        <w:rPr>
          <w:rFonts w:ascii="Arial" w:hAnsi="Arial" w:cs="Arial"/>
          <w:sz w:val="18"/>
          <w:szCs w:val="18"/>
        </w:rPr>
        <w:t>dd</w:t>
      </w:r>
      <w:proofErr w:type="spellEnd"/>
      <w:r w:rsidR="006E494B">
        <w:rPr>
          <w:rFonts w:ascii="Arial" w:hAnsi="Arial" w:cs="Arial"/>
          <w:sz w:val="18"/>
          <w:szCs w:val="18"/>
        </w:rPr>
        <w:t>/mm/</w:t>
      </w:r>
      <w:proofErr w:type="spellStart"/>
      <w:r w:rsidR="006E494B">
        <w:rPr>
          <w:rFonts w:ascii="Arial" w:hAnsi="Arial" w:cs="Arial"/>
          <w:sz w:val="18"/>
          <w:szCs w:val="18"/>
        </w:rPr>
        <w:t>rrrr</w:t>
      </w:r>
      <w:proofErr w:type="spellEnd"/>
      <w:r w:rsidR="006E494B">
        <w:rPr>
          <w:rFonts w:ascii="Arial" w:hAnsi="Arial" w:cs="Arial"/>
          <w:sz w:val="18"/>
          <w:szCs w:val="18"/>
        </w:rPr>
        <w:t>)</w:t>
      </w:r>
    </w:p>
    <w:p w14:paraId="4197CE00" w14:textId="77777777" w:rsidR="00396215" w:rsidRDefault="00396215" w:rsidP="0039621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emerytury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renty z tytułu niezdolności do pracy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renty szkoleniowej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renty socjalnej </w:t>
      </w:r>
    </w:p>
    <w:p w14:paraId="77C6A93E" w14:textId="77777777" w:rsidR="00396215" w:rsidRDefault="00396215" w:rsidP="0039621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nauczycielskiego świadczenia kompensacyjnego </w:t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zasiłku przedemerytalnego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>świadczenia przedemerytalnego </w:t>
      </w:r>
    </w:p>
    <w:p w14:paraId="1B57A829" w14:textId="77777777" w:rsidR="00396215" w:rsidRDefault="00396215" w:rsidP="00396215">
      <w:pPr>
        <w:spacing w:line="360" w:lineRule="auto"/>
        <w:ind w:left="3063" w:hanging="3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świadczenia rehabilitacyjnego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zasiłku chorobowego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zasiłku macierzyńskiego </w:t>
      </w:r>
    </w:p>
    <w:p w14:paraId="0CDAF175" w14:textId="77777777" w:rsidR="00396215" w:rsidRDefault="00396215" w:rsidP="00396215">
      <w:pPr>
        <w:spacing w:line="360" w:lineRule="auto"/>
        <w:ind w:left="3063" w:hanging="3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zasiłku w wysokości zasiłku macierzyńskiego</w:t>
      </w:r>
    </w:p>
    <w:p w14:paraId="466DD0B2" w14:textId="77777777" w:rsidR="00396215" w:rsidRDefault="00396215" w:rsidP="00396215">
      <w:pPr>
        <w:spacing w:after="0" w:line="360" w:lineRule="auto"/>
        <w:ind w:left="3063" w:hanging="3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renty rodzinnej w wysokości ……………….. zł (słownie złotych:……………………………………………………………….)</w:t>
      </w:r>
    </w:p>
    <w:p w14:paraId="7DEC2988" w14:textId="77777777" w:rsidR="00396215" w:rsidRDefault="00396215" w:rsidP="00396215">
      <w:pPr>
        <w:spacing w:after="0" w:line="360" w:lineRule="auto"/>
        <w:ind w:left="2042" w:firstLine="10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(należy podać kwotę brutto </w:t>
      </w:r>
      <w:r>
        <w:rPr>
          <w:rFonts w:ascii="Arial" w:hAnsi="Arial" w:cs="Arial"/>
          <w:bCs/>
          <w:iCs/>
          <w:sz w:val="18"/>
          <w:szCs w:val="18"/>
        </w:rPr>
        <w:t>przypadającą na osobę uprawnioną)</w:t>
      </w:r>
    </w:p>
    <w:p w14:paraId="680243AF" w14:textId="77777777" w:rsidR="00396215" w:rsidRDefault="00396215" w:rsidP="00396215">
      <w:pPr>
        <w:spacing w:after="0" w:line="360" w:lineRule="auto"/>
        <w:ind w:left="3063" w:hanging="3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emerytury albo renty z tytułu niezdolności do pracy, przyznanej przez zagraniczny organ emerytalny lub rentowy</w:t>
      </w:r>
    </w:p>
    <w:p w14:paraId="39EB8563" w14:textId="77777777" w:rsidR="00396215" w:rsidRDefault="00396215" w:rsidP="00396215">
      <w:pPr>
        <w:spacing w:after="0" w:line="360" w:lineRule="auto"/>
        <w:ind w:left="3063" w:hanging="3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(należy podać kwotę emerytury lub renty  przyznanej w walucie obcej) </w:t>
      </w:r>
    </w:p>
    <w:p w14:paraId="1F7DF7C0" w14:textId="77777777" w:rsidR="007D0C7B" w:rsidRDefault="007D0C7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</w:t>
      </w:r>
      <w:r w:rsidRPr="00364594">
        <w:rPr>
          <w:rFonts w:ascii="Arial" w:hAnsi="Arial" w:cs="Arial"/>
          <w:sz w:val="18"/>
          <w:szCs w:val="18"/>
        </w:rPr>
        <w:t xml:space="preserve">przychodu w wysokości przekraczającej połowę minimalnego wynagrodzenia za pracę, </w:t>
      </w:r>
      <w:r>
        <w:rPr>
          <w:rFonts w:ascii="Arial" w:hAnsi="Arial" w:cs="Arial"/>
          <w:sz w:val="18"/>
          <w:szCs w:val="18"/>
        </w:rPr>
        <w:t>z wyłączeniem przychodów</w:t>
      </w:r>
    </w:p>
    <w:p w14:paraId="44FEBFBF" w14:textId="3E9645AF" w:rsidR="007D0C7B" w:rsidRDefault="007D0C7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364594">
        <w:rPr>
          <w:rFonts w:ascii="Arial" w:hAnsi="Arial" w:cs="Arial"/>
          <w:sz w:val="18"/>
          <w:szCs w:val="18"/>
        </w:rPr>
        <w:t>uzyskanych z tytułu odsetek lub innych przychodów od środków pieniężnych zgromadzonych na rachunkach bankowych</w:t>
      </w:r>
    </w:p>
    <w:p w14:paraId="1F95466C" w14:textId="7C2E6EE7" w:rsidR="007D0C7B" w:rsidRDefault="007D0C7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364594">
        <w:rPr>
          <w:rFonts w:ascii="Arial" w:hAnsi="Arial" w:cs="Arial"/>
          <w:sz w:val="18"/>
          <w:szCs w:val="18"/>
        </w:rPr>
        <w:t>lub rachunkach członka spółdzielczej kasy oszczędnościowo-kredytowe</w:t>
      </w:r>
    </w:p>
    <w:p w14:paraId="6149B3CB" w14:textId="4642ADDB" w:rsidR="007D0C7B" w:rsidRPr="00364594" w:rsidRDefault="007D0C7B" w:rsidP="007D0C7B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</w:t>
      </w:r>
      <w:r w:rsidRPr="00364594">
        <w:rPr>
          <w:rFonts w:ascii="Arial" w:hAnsi="Arial" w:cs="Arial"/>
          <w:sz w:val="18"/>
          <w:szCs w:val="18"/>
        </w:rPr>
        <w:t>świadczenia pielęgnacyjnego lub s</w:t>
      </w:r>
      <w:r>
        <w:rPr>
          <w:rFonts w:ascii="Arial" w:hAnsi="Arial" w:cs="Arial"/>
          <w:sz w:val="18"/>
          <w:szCs w:val="18"/>
        </w:rPr>
        <w:t>pecjalnego zasiłku opiekuńczego</w:t>
      </w:r>
    </w:p>
    <w:p w14:paraId="25FC289C" w14:textId="25BB8D63" w:rsidR="007D0C7B" w:rsidRDefault="007D0C7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</w:t>
      </w:r>
      <w:r w:rsidRPr="00364594">
        <w:rPr>
          <w:rFonts w:ascii="Arial" w:hAnsi="Arial" w:cs="Arial"/>
          <w:sz w:val="18"/>
          <w:szCs w:val="18"/>
        </w:rPr>
        <w:t>świadczenia szkoleniowego</w:t>
      </w:r>
    </w:p>
    <w:p w14:paraId="6DD55AFA" w14:textId="3E071E8E" w:rsidR="008B02DB" w:rsidRDefault="008B02D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</w:t>
      </w:r>
      <w:r w:rsidRPr="00364594">
        <w:rPr>
          <w:rFonts w:ascii="Arial" w:hAnsi="Arial" w:cs="Arial"/>
          <w:sz w:val="18"/>
          <w:szCs w:val="18"/>
        </w:rPr>
        <w:t>świadczeni</w:t>
      </w:r>
      <w:r>
        <w:rPr>
          <w:rFonts w:ascii="Arial" w:hAnsi="Arial" w:cs="Arial"/>
          <w:sz w:val="18"/>
          <w:szCs w:val="18"/>
        </w:rPr>
        <w:t>a</w:t>
      </w:r>
      <w:r w:rsidRPr="00364594">
        <w:rPr>
          <w:rFonts w:ascii="Arial" w:hAnsi="Arial" w:cs="Arial"/>
          <w:sz w:val="18"/>
          <w:szCs w:val="18"/>
        </w:rPr>
        <w:t xml:space="preserve"> pieniężn</w:t>
      </w:r>
      <w:r>
        <w:rPr>
          <w:rFonts w:ascii="Arial" w:hAnsi="Arial" w:cs="Arial"/>
          <w:sz w:val="18"/>
          <w:szCs w:val="18"/>
        </w:rPr>
        <w:t>ego</w:t>
      </w:r>
      <w:r w:rsidRPr="00364594">
        <w:rPr>
          <w:rFonts w:ascii="Arial" w:hAnsi="Arial" w:cs="Arial"/>
          <w:sz w:val="18"/>
          <w:szCs w:val="18"/>
        </w:rPr>
        <w:t xml:space="preserve"> przysługując</w:t>
      </w:r>
      <w:r>
        <w:rPr>
          <w:rFonts w:ascii="Arial" w:hAnsi="Arial" w:cs="Arial"/>
          <w:sz w:val="18"/>
          <w:szCs w:val="18"/>
        </w:rPr>
        <w:t>ego</w:t>
      </w:r>
      <w:r w:rsidRPr="00364594">
        <w:rPr>
          <w:rFonts w:ascii="Arial" w:hAnsi="Arial" w:cs="Arial"/>
          <w:sz w:val="18"/>
          <w:szCs w:val="18"/>
        </w:rPr>
        <w:t xml:space="preserve"> członkom rodziny funkcjonariuszy lub żołnierzy zawodowych</w:t>
      </w:r>
    </w:p>
    <w:p w14:paraId="1F464A2D" w14:textId="31D3F57C" w:rsidR="008B02DB" w:rsidRDefault="008B02D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</w:t>
      </w:r>
      <w:r w:rsidRPr="00364594">
        <w:rPr>
          <w:rFonts w:ascii="Arial" w:hAnsi="Arial" w:cs="Arial"/>
          <w:sz w:val="18"/>
          <w:szCs w:val="18"/>
        </w:rPr>
        <w:t>renty inwalidzkiej przyznawanej</w:t>
      </w:r>
      <w:r>
        <w:rPr>
          <w:rFonts w:ascii="Arial" w:hAnsi="Arial" w:cs="Arial"/>
          <w:sz w:val="18"/>
          <w:szCs w:val="18"/>
        </w:rPr>
        <w:t xml:space="preserve"> </w:t>
      </w:r>
      <w:r w:rsidRPr="008B02DB">
        <w:rPr>
          <w:rFonts w:ascii="Arial" w:hAnsi="Arial" w:cs="Arial"/>
          <w:sz w:val="18"/>
          <w:szCs w:val="18"/>
        </w:rPr>
        <w:t>funkcjonariusz</w:t>
      </w:r>
      <w:r>
        <w:rPr>
          <w:rFonts w:ascii="Arial" w:hAnsi="Arial" w:cs="Arial"/>
          <w:sz w:val="18"/>
          <w:szCs w:val="18"/>
        </w:rPr>
        <w:t>om</w:t>
      </w:r>
    </w:p>
    <w:p w14:paraId="5D9BB87A" w14:textId="77777777" w:rsidR="008B02DB" w:rsidRDefault="008B02DB" w:rsidP="007D0C7B">
      <w:pPr>
        <w:spacing w:after="0" w:line="240" w:lineRule="auto"/>
        <w:ind w:left="3062" w:hanging="3062"/>
        <w:jc w:val="both"/>
        <w:rPr>
          <w:rFonts w:ascii="Arial" w:hAnsi="Arial" w:cs="Arial"/>
          <w:sz w:val="18"/>
          <w:szCs w:val="18"/>
        </w:rPr>
      </w:pPr>
    </w:p>
    <w:p w14:paraId="3397E8AB" w14:textId="77777777" w:rsidR="00396215" w:rsidRDefault="00396215" w:rsidP="003962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Dokument potwierdzający nabycie prawa do ww. świadczeń  należy dołączyć do druku zgłoszenia. </w:t>
      </w: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272BFEBE" w14:textId="7BE54A9F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="008B02DB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>(podpis bezrobotnego)</w:t>
      </w:r>
    </w:p>
    <w:p w14:paraId="5DD87A84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63D35AC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09921419" w14:textId="77777777" w:rsidR="008B02DB" w:rsidRDefault="008B02DB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4419BA28" w14:textId="77777777" w:rsidR="008B02DB" w:rsidRDefault="008B02DB" w:rsidP="00A75EB7">
      <w:pPr>
        <w:jc w:val="center"/>
        <w:rPr>
          <w:rFonts w:ascii="Arial" w:hAnsi="Arial" w:cs="Arial"/>
          <w:b/>
          <w:sz w:val="18"/>
          <w:szCs w:val="18"/>
        </w:rPr>
      </w:pPr>
    </w:p>
    <w:p w14:paraId="779458AD" w14:textId="77777777" w:rsidR="00A75EB7" w:rsidRPr="00D46B8C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D46B8C">
        <w:rPr>
          <w:rFonts w:ascii="Arial" w:hAnsi="Arial" w:cs="Arial"/>
          <w:b/>
          <w:sz w:val="18"/>
          <w:szCs w:val="18"/>
        </w:rPr>
        <w:lastRenderedPageBreak/>
        <w:t>Pouczenie:</w:t>
      </w:r>
    </w:p>
    <w:p w14:paraId="3EEED70E" w14:textId="3D9AD04B" w:rsidR="008D0676" w:rsidRPr="00364594" w:rsidRDefault="008D0676" w:rsidP="00364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Zgodnie z art.65 ust.1 starosta pozbawia statusu bezrobotnego, który nie spełnia warunków, o których mowa w art. 2 ust.1. </w:t>
      </w:r>
      <w:r w:rsidR="00A75EB7" w:rsidRPr="00364594">
        <w:rPr>
          <w:rFonts w:ascii="Arial" w:hAnsi="Arial" w:cs="Arial"/>
          <w:sz w:val="18"/>
          <w:szCs w:val="18"/>
        </w:rPr>
        <w:t>Bezrobotny</w:t>
      </w:r>
      <w:r w:rsidR="00542F1F" w:rsidRPr="00364594">
        <w:rPr>
          <w:rFonts w:ascii="Arial" w:hAnsi="Arial" w:cs="Arial"/>
          <w:sz w:val="18"/>
          <w:szCs w:val="18"/>
        </w:rPr>
        <w:t>m– oznacza to osobę,</w:t>
      </w:r>
      <w:r w:rsidR="00A75EB7" w:rsidRPr="00364594">
        <w:rPr>
          <w:rFonts w:ascii="Arial" w:hAnsi="Arial" w:cs="Arial"/>
          <w:sz w:val="18"/>
          <w:szCs w:val="18"/>
        </w:rPr>
        <w:t xml:space="preserve"> który </w:t>
      </w:r>
      <w:r w:rsidRPr="00364594">
        <w:rPr>
          <w:rFonts w:ascii="Arial" w:hAnsi="Arial" w:cs="Arial"/>
          <w:sz w:val="18"/>
          <w:szCs w:val="18"/>
        </w:rPr>
        <w:t xml:space="preserve">nie nabyła </w:t>
      </w:r>
      <w:r w:rsidR="006019DD" w:rsidRPr="00364594">
        <w:rPr>
          <w:rFonts w:ascii="Arial" w:hAnsi="Arial" w:cs="Arial"/>
          <w:sz w:val="18"/>
          <w:szCs w:val="18"/>
        </w:rPr>
        <w:t xml:space="preserve">stałego źródła dochodu </w:t>
      </w:r>
      <w:r w:rsidRPr="00364594">
        <w:rPr>
          <w:rFonts w:ascii="Arial" w:hAnsi="Arial" w:cs="Arial"/>
          <w:sz w:val="18"/>
          <w:szCs w:val="18"/>
        </w:rPr>
        <w:t>(art.2 pkt 1</w:t>
      </w:r>
      <w:r w:rsidR="006019DD" w:rsidRPr="00364594">
        <w:rPr>
          <w:rFonts w:ascii="Arial" w:hAnsi="Arial" w:cs="Arial"/>
          <w:sz w:val="18"/>
          <w:szCs w:val="18"/>
        </w:rPr>
        <w:t xml:space="preserve"> pkt 42</w:t>
      </w:r>
      <w:r w:rsidRPr="00364594">
        <w:rPr>
          <w:rFonts w:ascii="Arial" w:hAnsi="Arial" w:cs="Arial"/>
          <w:sz w:val="18"/>
          <w:szCs w:val="18"/>
        </w:rPr>
        <w:t xml:space="preserve"> ustawy o rynku  pracy i służbach zatrudnienia).</w:t>
      </w:r>
    </w:p>
    <w:p w14:paraId="125F6FCA" w14:textId="374FFE75" w:rsidR="00364594" w:rsidRPr="00364594" w:rsidRDefault="006019DD" w:rsidP="00364594">
      <w:pPr>
        <w:pStyle w:val="p1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Stałe źródło dochodu oznacza </w:t>
      </w:r>
      <w:r w:rsidR="00364594" w:rsidRPr="00364594">
        <w:rPr>
          <w:rFonts w:ascii="Arial" w:hAnsi="Arial" w:cs="Arial"/>
          <w:sz w:val="18"/>
          <w:szCs w:val="18"/>
        </w:rPr>
        <w:t xml:space="preserve"> – oznacza to:</w:t>
      </w:r>
    </w:p>
    <w:p w14:paraId="72504629" w14:textId="2B9BD45B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a) nabycie prawa do emerytury lub renty z tytułu niezdolności do pracy, renty szkoleniowej, renty socjalnej, renty rodzinnej </w:t>
      </w:r>
      <w:r w:rsidR="006918C5">
        <w:rPr>
          <w:rFonts w:ascii="Arial" w:hAnsi="Arial" w:cs="Arial"/>
          <w:sz w:val="18"/>
          <w:szCs w:val="18"/>
        </w:rPr>
        <w:t>w  </w:t>
      </w:r>
      <w:r w:rsidRPr="00364594">
        <w:rPr>
          <w:rFonts w:ascii="Arial" w:hAnsi="Arial" w:cs="Arial"/>
          <w:sz w:val="18"/>
          <w:szCs w:val="18"/>
        </w:rPr>
        <w:t xml:space="preserve">wysokości przekraczającej połowę minimalnego wynagrodzenia za pracę lub świadczenia pieniężnego, o którym mowa </w:t>
      </w:r>
      <w:r w:rsidR="006918C5">
        <w:rPr>
          <w:rFonts w:ascii="Arial" w:hAnsi="Arial" w:cs="Arial"/>
          <w:sz w:val="18"/>
          <w:szCs w:val="18"/>
        </w:rPr>
        <w:t>w  </w:t>
      </w:r>
      <w:r w:rsidRPr="00364594">
        <w:rPr>
          <w:rFonts w:ascii="Arial" w:hAnsi="Arial" w:cs="Arial"/>
          <w:sz w:val="18"/>
          <w:szCs w:val="18"/>
        </w:rPr>
        <w:t>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</w:t>
      </w:r>
      <w:r>
        <w:rPr>
          <w:rFonts w:ascii="Arial" w:hAnsi="Arial" w:cs="Arial"/>
          <w:sz w:val="18"/>
          <w:szCs w:val="18"/>
        </w:rPr>
        <w:t>,</w:t>
      </w:r>
      <w:r w:rsidRPr="00364594">
        <w:rPr>
          <w:rFonts w:ascii="Arial" w:hAnsi="Arial" w:cs="Arial"/>
          <w:sz w:val="18"/>
          <w:szCs w:val="18"/>
        </w:rPr>
        <w:t xml:space="preserve">  zwanego dalej „świadczeniem pieniężnym przysługującym członkom rodziny funkcjonariuszy lub żołnierzy zawodowych”, lub renty inwalidzkiej przyznawanej na podstawie </w:t>
      </w:r>
      <w:hyperlink r:id="rId8" w:tgtFrame="_blank" w:tooltip="USTAWA z dnia 18 lutego 1994 r. o zaopatrzeniu emerytalnym funkcjonariuszy Policji, Agencji Bezpieczeństwa Wewnętrznego, Agencji Wywiadu, Służby Kontrwywiadu Wojskowego, Służby Wywiadu Wojskowego, Centralnego Biura Antykorupcyjnego, Straży Granicznej, Straży M" w:history="1">
        <w:r w:rsidRPr="00364594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</w:r>
      </w:hyperlink>
      <w:r w:rsidRPr="00364594">
        <w:rPr>
          <w:rFonts w:ascii="Arial" w:hAnsi="Arial" w:cs="Arial"/>
          <w:sz w:val="18"/>
          <w:szCs w:val="18"/>
        </w:rPr>
        <w:t xml:space="preserve"> lub </w:t>
      </w:r>
      <w:hyperlink r:id="rId9" w:tgtFrame="_blank" w:tooltip="USTAWA z dnia 10 grudnia 1993 r. o zaopatrzeniu emerytalnym żołnierzy zawodowych oraz ich rodzin" w:history="1">
        <w:r w:rsidRPr="00364594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10 grudnia 1993 r. o zaopatrzeniu emerytalnym żołnierzy zawodowych oraz ich rodzin</w:t>
        </w:r>
      </w:hyperlink>
      <w:r w:rsidRPr="00364594">
        <w:rPr>
          <w:rFonts w:ascii="Arial" w:hAnsi="Arial" w:cs="Arial"/>
          <w:sz w:val="18"/>
          <w:szCs w:val="18"/>
        </w:rPr>
        <w:t>,</w:t>
      </w:r>
    </w:p>
    <w:p w14:paraId="0CA0926D" w14:textId="77777777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>b) nabycie po ustaniu zatrudnienia, innej pracy zarobkowej, zaprzestaniu prowadzenia pozarolniczej działalności, prawa do nauczycielskiego świadczenia kompensacyjnego, zasiłku przedemerytalnego, świadczenia przedemerytalnego, świadczenia rehabilitacyjnego, zasiłku chorobowego, zasiłku macierzyńskiego lub zasiłku w wysokości zasiłku macierzyńskiego,</w:t>
      </w:r>
    </w:p>
    <w:p w14:paraId="071E1912" w14:textId="70D9E988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c) nabycie prawa do emerytury albo renty z tytułu niezdolności do pracy, przyznanego przez zagraniczny organ emerytalny lub rentowy, w wysokości co najmniej najniższej emerytury albo renty z tytułu niezdolności do pracy, o których mowa </w:t>
      </w:r>
      <w:r>
        <w:rPr>
          <w:rFonts w:ascii="Arial" w:hAnsi="Arial" w:cs="Arial"/>
          <w:sz w:val="18"/>
          <w:szCs w:val="18"/>
        </w:rPr>
        <w:t>w </w:t>
      </w:r>
      <w:r w:rsidRPr="00364594">
        <w:rPr>
          <w:rFonts w:ascii="Arial" w:hAnsi="Arial" w:cs="Arial"/>
          <w:sz w:val="18"/>
          <w:szCs w:val="18"/>
        </w:rPr>
        <w:t>ustawie z dnia 17 grudnia 1998 r. o emeryturach i rentach z Funduszu Ubezpieczeń Społecznych,</w:t>
      </w:r>
    </w:p>
    <w:p w14:paraId="28B4873B" w14:textId="56D48C12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d) uzyskiwanie miesięcznie przychodu w wysokości przekraczającej połowę minimalnego wynagrodzenia za pracę, </w:t>
      </w:r>
      <w:r w:rsidR="006918C5">
        <w:rPr>
          <w:rFonts w:ascii="Arial" w:hAnsi="Arial" w:cs="Arial"/>
          <w:sz w:val="18"/>
          <w:szCs w:val="18"/>
        </w:rPr>
        <w:t>z </w:t>
      </w:r>
      <w:r w:rsidRPr="00364594">
        <w:rPr>
          <w:rFonts w:ascii="Arial" w:hAnsi="Arial" w:cs="Arial"/>
          <w:sz w:val="18"/>
          <w:szCs w:val="18"/>
        </w:rPr>
        <w:t>wyłączeniem przychodów uzyskanych z tytułu odsetek lub innych przychodów od środków pieniężnych zgromadzonych na rachunkach bankowych lub rachunkach członka spółdzielczej kasy oszczędnościowo-kredytowej,</w:t>
      </w:r>
    </w:p>
    <w:p w14:paraId="30B4A50C" w14:textId="5A704BF4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 xml:space="preserve">e) nabycie na podstawie </w:t>
      </w:r>
      <w:hyperlink r:id="rId10" w:tgtFrame="_blank" w:tooltip="USTAWA z dnia 28 listopada 2003 r. o świadczeniach rodzinnych" w:history="1">
        <w:r w:rsidRPr="00364594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28 listopada 2003 r. o świadczeniach rodzinnych</w:t>
        </w:r>
      </w:hyperlink>
      <w:r w:rsidRPr="00364594">
        <w:rPr>
          <w:rFonts w:ascii="Arial" w:hAnsi="Arial" w:cs="Arial"/>
          <w:sz w:val="18"/>
          <w:szCs w:val="18"/>
        </w:rPr>
        <w:t xml:space="preserve"> prawa do świadczenia pielęgnacyjnego lub specjalnego zasiłku opiekuńczego,</w:t>
      </w:r>
    </w:p>
    <w:p w14:paraId="1D2C8332" w14:textId="211EAF54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>f) nabycie na podstawie ustawy z dnia 4 kwietnia 2014 r. o ustaleniu i wypłacie zasiłków dla opiekunów  prawa do zasiłku dla opiekuna,</w:t>
      </w:r>
    </w:p>
    <w:p w14:paraId="7A6EC80B" w14:textId="6E090564" w:rsidR="00364594" w:rsidRPr="00364594" w:rsidRDefault="00364594" w:rsidP="00364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4594">
        <w:rPr>
          <w:rFonts w:ascii="Arial" w:hAnsi="Arial" w:cs="Arial"/>
          <w:sz w:val="18"/>
          <w:szCs w:val="18"/>
        </w:rPr>
        <w:t>g) pobieranie po ustaniu zatrudnienia świadczenia szkoleniowego, o którym mowa w art. 217 ust. 6</w:t>
      </w:r>
      <w:r>
        <w:rPr>
          <w:rFonts w:ascii="Arial" w:hAnsi="Arial" w:cs="Arial"/>
          <w:sz w:val="18"/>
          <w:szCs w:val="18"/>
        </w:rPr>
        <w:t xml:space="preserve"> ustawy </w:t>
      </w:r>
      <w:r w:rsidRPr="00364594">
        <w:rPr>
          <w:rFonts w:ascii="Arial" w:hAnsi="Arial" w:cs="Arial"/>
          <w:sz w:val="18"/>
          <w:szCs w:val="18"/>
        </w:rPr>
        <w:t xml:space="preserve">o rynku  pracy </w:t>
      </w:r>
      <w:r w:rsidR="006918C5">
        <w:rPr>
          <w:rFonts w:ascii="Arial" w:hAnsi="Arial" w:cs="Arial"/>
          <w:sz w:val="18"/>
          <w:szCs w:val="18"/>
        </w:rPr>
        <w:t>i </w:t>
      </w:r>
      <w:r w:rsidRPr="00364594">
        <w:rPr>
          <w:rFonts w:ascii="Arial" w:hAnsi="Arial" w:cs="Arial"/>
          <w:sz w:val="18"/>
          <w:szCs w:val="18"/>
        </w:rPr>
        <w:t>służbach zatrudn</w:t>
      </w:r>
      <w:r w:rsidR="006918C5">
        <w:rPr>
          <w:rFonts w:ascii="Arial" w:hAnsi="Arial" w:cs="Arial"/>
          <w:sz w:val="18"/>
          <w:szCs w:val="18"/>
        </w:rPr>
        <w:t>i</w:t>
      </w:r>
      <w:r w:rsidRPr="00364594">
        <w:rPr>
          <w:rFonts w:ascii="Arial" w:hAnsi="Arial" w:cs="Arial"/>
          <w:sz w:val="18"/>
          <w:szCs w:val="18"/>
        </w:rPr>
        <w:t>enia).</w:t>
      </w:r>
    </w:p>
    <w:p w14:paraId="4FB1D3BB" w14:textId="6B20AC69" w:rsidR="00364594" w:rsidRPr="00364594" w:rsidRDefault="00364594" w:rsidP="00364594">
      <w:pPr>
        <w:pStyle w:val="p2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068ED6EF" w14:textId="3138DB45" w:rsidR="005A79B5" w:rsidRPr="00364594" w:rsidRDefault="005A79B5" w:rsidP="00364594">
      <w:pPr>
        <w:pStyle w:val="p1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428C366A" w14:textId="6974A571" w:rsidR="008C5220" w:rsidRPr="006E494B" w:rsidRDefault="008C5220" w:rsidP="00364594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ectPr w:rsidR="008C5220" w:rsidRPr="006E494B" w:rsidSect="00895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60BFF" w14:textId="77777777" w:rsidR="000673B1" w:rsidRDefault="000673B1" w:rsidP="00785274">
      <w:pPr>
        <w:spacing w:after="0" w:line="240" w:lineRule="auto"/>
      </w:pPr>
      <w:r>
        <w:separator/>
      </w:r>
    </w:p>
  </w:endnote>
  <w:endnote w:type="continuationSeparator" w:id="0">
    <w:p w14:paraId="4BFBF6A2" w14:textId="77777777" w:rsidR="000673B1" w:rsidRDefault="000673B1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0B28B" w14:textId="77777777" w:rsidR="0078198B" w:rsidRDefault="007819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B9BC" w14:textId="77777777" w:rsidR="0078198B" w:rsidRDefault="0078198B" w:rsidP="0078198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A0C35AB" w14:textId="77777777" w:rsidR="0078198B" w:rsidRDefault="0078198B" w:rsidP="0078198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173A8D3" w14:textId="77777777" w:rsidR="0078198B" w:rsidRDefault="0078198B" w:rsidP="0078198B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35B2D8C4" w:rsidR="00C45076" w:rsidRPr="0078198B" w:rsidRDefault="00C45076" w:rsidP="0078198B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3B10" w14:textId="77777777" w:rsidR="0078198B" w:rsidRDefault="0078198B" w:rsidP="0078198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43E9B2D" w14:textId="77777777" w:rsidR="0078198B" w:rsidRDefault="0078198B" w:rsidP="0078198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0D3AFF6" w14:textId="77777777" w:rsidR="0078198B" w:rsidRDefault="0078198B" w:rsidP="0078198B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6EA432A8" w:rsidR="008C5220" w:rsidRPr="0078198B" w:rsidRDefault="008C5220" w:rsidP="007819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A41C8" w14:textId="77777777" w:rsidR="000673B1" w:rsidRDefault="000673B1" w:rsidP="00785274">
      <w:pPr>
        <w:spacing w:after="0" w:line="240" w:lineRule="auto"/>
      </w:pPr>
      <w:r>
        <w:separator/>
      </w:r>
    </w:p>
  </w:footnote>
  <w:footnote w:type="continuationSeparator" w:id="0">
    <w:p w14:paraId="6FECE31F" w14:textId="77777777" w:rsidR="000673B1" w:rsidRDefault="000673B1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4D7E" w14:textId="77777777" w:rsidR="0078198B" w:rsidRDefault="007819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6FEC" w14:textId="77777777" w:rsidR="0078198B" w:rsidRDefault="007819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11B16D86"/>
    <w:multiLevelType w:val="hybridMultilevel"/>
    <w:tmpl w:val="1B388180"/>
    <w:lvl w:ilvl="0" w:tplc="749E7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37408"/>
    <w:rsid w:val="00064B7C"/>
    <w:rsid w:val="000673B1"/>
    <w:rsid w:val="0009067A"/>
    <w:rsid w:val="000B0239"/>
    <w:rsid w:val="00150C51"/>
    <w:rsid w:val="0015110E"/>
    <w:rsid w:val="00164DBF"/>
    <w:rsid w:val="001D0CAC"/>
    <w:rsid w:val="001E2606"/>
    <w:rsid w:val="001F7861"/>
    <w:rsid w:val="0024274C"/>
    <w:rsid w:val="0025020F"/>
    <w:rsid w:val="0026784D"/>
    <w:rsid w:val="00294F4C"/>
    <w:rsid w:val="002E11FC"/>
    <w:rsid w:val="00300646"/>
    <w:rsid w:val="00322F3A"/>
    <w:rsid w:val="0034603E"/>
    <w:rsid w:val="00350DB4"/>
    <w:rsid w:val="00364594"/>
    <w:rsid w:val="00394841"/>
    <w:rsid w:val="00396215"/>
    <w:rsid w:val="00405208"/>
    <w:rsid w:val="00456625"/>
    <w:rsid w:val="004D18C5"/>
    <w:rsid w:val="004E0221"/>
    <w:rsid w:val="00534920"/>
    <w:rsid w:val="00542F1F"/>
    <w:rsid w:val="00560FEE"/>
    <w:rsid w:val="00581249"/>
    <w:rsid w:val="005A3433"/>
    <w:rsid w:val="005A79B5"/>
    <w:rsid w:val="006019DD"/>
    <w:rsid w:val="00644C1A"/>
    <w:rsid w:val="00673A82"/>
    <w:rsid w:val="006918C5"/>
    <w:rsid w:val="006C222B"/>
    <w:rsid w:val="006E494B"/>
    <w:rsid w:val="006F1CEC"/>
    <w:rsid w:val="006F711A"/>
    <w:rsid w:val="00704721"/>
    <w:rsid w:val="00744010"/>
    <w:rsid w:val="007551D8"/>
    <w:rsid w:val="00761FEB"/>
    <w:rsid w:val="0078198B"/>
    <w:rsid w:val="00785274"/>
    <w:rsid w:val="00791EE2"/>
    <w:rsid w:val="00794960"/>
    <w:rsid w:val="007A05CC"/>
    <w:rsid w:val="007A4EA0"/>
    <w:rsid w:val="007C3E17"/>
    <w:rsid w:val="007D0C7B"/>
    <w:rsid w:val="008132ED"/>
    <w:rsid w:val="00861343"/>
    <w:rsid w:val="00873EC1"/>
    <w:rsid w:val="00877E0E"/>
    <w:rsid w:val="008811CB"/>
    <w:rsid w:val="008957B7"/>
    <w:rsid w:val="008B02DB"/>
    <w:rsid w:val="008C5220"/>
    <w:rsid w:val="008D0676"/>
    <w:rsid w:val="0092408F"/>
    <w:rsid w:val="009329CD"/>
    <w:rsid w:val="00934E0D"/>
    <w:rsid w:val="009D62A5"/>
    <w:rsid w:val="00A156D1"/>
    <w:rsid w:val="00A75EB7"/>
    <w:rsid w:val="00A925B4"/>
    <w:rsid w:val="00BD3360"/>
    <w:rsid w:val="00C21B6C"/>
    <w:rsid w:val="00C45076"/>
    <w:rsid w:val="00C451F1"/>
    <w:rsid w:val="00C51393"/>
    <w:rsid w:val="00C51FBE"/>
    <w:rsid w:val="00CB772E"/>
    <w:rsid w:val="00CC308C"/>
    <w:rsid w:val="00CD6251"/>
    <w:rsid w:val="00D46B8C"/>
    <w:rsid w:val="00DC6AD4"/>
    <w:rsid w:val="00DD1804"/>
    <w:rsid w:val="00DD56E3"/>
    <w:rsid w:val="00DE41B9"/>
    <w:rsid w:val="00E30F18"/>
    <w:rsid w:val="00E64230"/>
    <w:rsid w:val="00E76699"/>
    <w:rsid w:val="00EE0197"/>
    <w:rsid w:val="00F11567"/>
    <w:rsid w:val="00F32658"/>
    <w:rsid w:val="00F5362F"/>
    <w:rsid w:val="00F93D96"/>
    <w:rsid w:val="00FB5147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54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36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2.215.0001626,USTAWA-z-dnia-18-lutego-1994-r-o-zaopatrzeniu-emerytalnym-funkcjonariuszy-Policji-Agencji-Bezpieczenstwa-Wewnetrznego-Agencji-Wywiadu-Sluzby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forlex.pl/dok/tresc,DZU.2024.067.0000323,USTAWA-z-dnia-28-listopada-2003-r-o-swiadczeniach-rodzinnych.htm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4.053.0000242,USTAWA-z-dnia-10-grudnia-1993-r-o-zaopatrzeniu-emerytalnym-zolnierzy-zawodowych-oraz-ich-rodzin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E73B-CE2D-4183-88E0-A4F07CEB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54</cp:revision>
  <cp:lastPrinted>2024-07-30T07:16:00Z</cp:lastPrinted>
  <dcterms:created xsi:type="dcterms:W3CDTF">2024-01-08T09:19:00Z</dcterms:created>
  <dcterms:modified xsi:type="dcterms:W3CDTF">2025-06-11T12:52:00Z</dcterms:modified>
</cp:coreProperties>
</file>